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1176336346"/>
      </w:sdtPr>
      <w:sdtEndPr>
        <w:rPr>
          <w:lang w:val="zh-CN"/>
        </w:rPr>
      </w:sdtEndPr>
      <w:sdtContent>
        <w:p w14:paraId="198E9C8E">
          <w:bookmarkStart w:id="0" w:name="_Hlk480897413"/>
          <w:bookmarkEnd w:id="0"/>
          <w:r>
            <w:pict>
              <v:rect id="_x0000_i1025" o:spt="1" style="height:1pt;width:347.55pt;" fillcolor="#A0A0A0" filled="t" stroked="f" coordsize="21600,21600" o:hr="t" o:hrstd="t" o:hralign="center">
                <v:path/>
                <v:fill on="t" focussize="0,0"/>
                <v:stroke on="f"/>
                <v:imagedata o:title=""/>
                <o:lock v:ext="edit"/>
                <w10:wrap type="none"/>
                <w10:anchorlock/>
              </v:rect>
            </w:pict>
          </w:r>
        </w:p>
        <w:p w14:paraId="3D339106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1809185D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019EF3FC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3FD34143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34A5EAD8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34257814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1BF71CAB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60705905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78BB6F81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6A887F5B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1AFB7436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5BF14047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7467F27F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07156656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0D45CF82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5947274B">
          <w:pPr>
            <w:jc w:val="center"/>
            <w:rPr>
              <w:rFonts w:hint="eastAsia" w:eastAsia="宋体"/>
              <w:b/>
              <w:color w:val="4A452A" w:themeColor="background2" w:themeShade="40"/>
              <w:sz w:val="44"/>
              <w:szCs w:val="44"/>
              <w:lang w:val="en-US" w:eastAsia="zh-CN"/>
            </w:rPr>
          </w:pPr>
          <w:r>
            <w:rPr>
              <w:rFonts w:hint="eastAsia"/>
              <w:b/>
              <w:color w:val="4A452A" w:themeColor="background2" w:themeShade="40"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/>
              <w:b/>
              <w:color w:val="4A452A" w:themeColor="background2" w:themeShade="40"/>
              <w:sz w:val="44"/>
              <w:szCs w:val="44"/>
              <w:lang w:val="en-US" w:eastAsia="zh-CN"/>
            </w:rPr>
            <w:instrText xml:space="preserve"> HYPERLINK "https://jxpj.hmc.edu.cn/university/manage/index.shtml" </w:instrText>
          </w:r>
          <w:r>
            <w:rPr>
              <w:rFonts w:hint="eastAsia"/>
              <w:b/>
              <w:color w:val="4A452A" w:themeColor="background2" w:themeShade="40"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default"/>
              <w:b/>
              <w:color w:val="4A452A" w:themeColor="background2" w:themeShade="40"/>
              <w:sz w:val="44"/>
              <w:szCs w:val="44"/>
              <w:lang w:val="en-US" w:eastAsia="zh-CN"/>
            </w:rPr>
            <w:t>教学质量评价系统</w:t>
          </w:r>
          <w:r>
            <w:rPr>
              <w:rFonts w:hint="default"/>
              <w:b/>
              <w:color w:val="4A452A" w:themeColor="background2" w:themeShade="40"/>
              <w:sz w:val="44"/>
              <w:szCs w:val="44"/>
              <w:lang w:val="en-US" w:eastAsia="zh-CN"/>
            </w:rPr>
            <w:fldChar w:fldCharType="end"/>
          </w:r>
          <w:bookmarkStart w:id="49" w:name="_GoBack"/>
          <w:bookmarkEnd w:id="49"/>
        </w:p>
        <w:p w14:paraId="7298DBBF">
          <w:pPr>
            <w:pStyle w:val="34"/>
            <w:spacing w:line="240" w:lineRule="atLeast"/>
            <w:jc w:val="center"/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  <w:lang w:val="en-US" w:eastAsia="zh-CN"/>
            </w:rPr>
          </w:pPr>
          <w:r>
            <w:rPr>
              <w:rFonts w:asciiTheme="minorEastAsia" w:hAnsiTheme="minorEastAsia"/>
              <w:b/>
              <w:color w:val="4A452A" w:themeColor="background2" w:themeShade="40"/>
              <w:sz w:val="30"/>
              <w:szCs w:val="30"/>
            </w:rPr>
            <w:t xml:space="preserve">            </w:t>
          </w:r>
          <w:r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  <w:lang w:val="en-US" w:eastAsia="zh-CN"/>
            </w:rPr>
            <w:t xml:space="preserve">    </w:t>
          </w:r>
        </w:p>
        <w:p w14:paraId="0BA8F989">
          <w:pPr>
            <w:pStyle w:val="34"/>
            <w:spacing w:line="240" w:lineRule="atLeast"/>
            <w:jc w:val="center"/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  <w:lang w:val="en-US" w:eastAsia="zh-CN"/>
            </w:rPr>
          </w:pPr>
        </w:p>
        <w:p w14:paraId="1A14F4A0">
          <w:pPr>
            <w:pStyle w:val="34"/>
            <w:spacing w:line="240" w:lineRule="atLeast"/>
            <w:jc w:val="center"/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  <w:lang w:val="en-US" w:eastAsia="zh-CN"/>
            </w:rPr>
          </w:pPr>
        </w:p>
        <w:p w14:paraId="5456B2C9">
          <w:pPr>
            <w:pStyle w:val="34"/>
            <w:spacing w:line="240" w:lineRule="atLeast"/>
            <w:jc w:val="center"/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  <w:lang w:val="en-US" w:eastAsia="zh-CN"/>
            </w:rPr>
          </w:pPr>
        </w:p>
        <w:p w14:paraId="0BF26D3C">
          <w:pPr>
            <w:pStyle w:val="34"/>
            <w:spacing w:line="240" w:lineRule="atLeast"/>
            <w:jc w:val="center"/>
            <w:rPr>
              <w:rFonts w:asciiTheme="minorEastAsia" w:hAnsiTheme="minorEastAsia"/>
              <w:color w:val="4A452A" w:themeColor="background2" w:themeShade="40"/>
              <w:sz w:val="30"/>
              <w:szCs w:val="30"/>
            </w:rPr>
          </w:pPr>
          <w:r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  <w:lang w:val="en-US" w:eastAsia="zh-CN"/>
            </w:rPr>
            <w:t xml:space="preserve">                               </w:t>
          </w:r>
          <w:r>
            <w:rPr>
              <w:rFonts w:hint="eastAsia" w:asciiTheme="minorEastAsia" w:hAnsiTheme="minorEastAsia"/>
              <w:b/>
              <w:color w:val="4A452A" w:themeColor="background2" w:themeShade="40"/>
              <w:sz w:val="30"/>
              <w:szCs w:val="30"/>
            </w:rPr>
            <w:t>—教师使用手册</w:t>
          </w:r>
        </w:p>
        <w:p w14:paraId="73616875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444454BD">
          <w:pPr>
            <w:pStyle w:val="34"/>
            <w:rPr>
              <w:rFonts w:asciiTheme="majorHAnsi" w:hAnsiTheme="majorHAnsi" w:eastAsiaTheme="majorEastAsia" w:cstheme="majorBidi"/>
              <w:sz w:val="21"/>
              <w:szCs w:val="21"/>
            </w:rPr>
          </w:pPr>
        </w:p>
        <w:p w14:paraId="077ACB11">
          <w:pPr>
            <w:pStyle w:val="34"/>
            <w:jc w:val="center"/>
            <w:rPr>
              <w:sz w:val="21"/>
              <w:szCs w:val="21"/>
            </w:rPr>
          </w:pPr>
        </w:p>
        <w:p w14:paraId="4519B321">
          <w:pPr>
            <w:pStyle w:val="34"/>
            <w:jc w:val="center"/>
            <w:rPr>
              <w:sz w:val="21"/>
              <w:szCs w:val="21"/>
            </w:rPr>
          </w:pPr>
        </w:p>
        <w:p w14:paraId="6727547F">
          <w:pPr>
            <w:pStyle w:val="34"/>
            <w:jc w:val="center"/>
            <w:rPr>
              <w:sz w:val="21"/>
              <w:szCs w:val="21"/>
            </w:rPr>
          </w:pPr>
        </w:p>
        <w:p w14:paraId="0986BDF7">
          <w:pPr>
            <w:pStyle w:val="34"/>
            <w:jc w:val="center"/>
            <w:rPr>
              <w:sz w:val="21"/>
              <w:szCs w:val="21"/>
            </w:rPr>
          </w:pPr>
        </w:p>
        <w:p w14:paraId="240BB5AA">
          <w:pPr>
            <w:pStyle w:val="34"/>
            <w:jc w:val="center"/>
            <w:rPr>
              <w:sz w:val="21"/>
              <w:szCs w:val="21"/>
            </w:rPr>
          </w:pPr>
        </w:p>
        <w:p w14:paraId="0243A60E">
          <w:pPr>
            <w:pStyle w:val="34"/>
            <w:jc w:val="center"/>
            <w:rPr>
              <w:sz w:val="21"/>
              <w:szCs w:val="21"/>
            </w:rPr>
          </w:pPr>
        </w:p>
        <w:p w14:paraId="157874DB">
          <w:pPr>
            <w:pStyle w:val="34"/>
            <w:jc w:val="center"/>
            <w:rPr>
              <w:sz w:val="21"/>
              <w:szCs w:val="21"/>
            </w:rPr>
          </w:pPr>
        </w:p>
        <w:p w14:paraId="0232A28D">
          <w:pPr>
            <w:pStyle w:val="34"/>
            <w:jc w:val="center"/>
            <w:rPr>
              <w:sz w:val="21"/>
              <w:szCs w:val="21"/>
            </w:rPr>
          </w:pPr>
        </w:p>
        <w:p w14:paraId="1AA9B1A2">
          <w:pPr>
            <w:pStyle w:val="34"/>
            <w:jc w:val="center"/>
            <w:rPr>
              <w:sz w:val="21"/>
              <w:szCs w:val="21"/>
            </w:rPr>
          </w:pPr>
        </w:p>
        <w:p w14:paraId="10B35FED">
          <w:pPr>
            <w:pStyle w:val="34"/>
            <w:jc w:val="center"/>
            <w:rPr>
              <w:sz w:val="21"/>
              <w:szCs w:val="21"/>
            </w:rPr>
          </w:pPr>
        </w:p>
        <w:p w14:paraId="00AF42EF">
          <w:pPr>
            <w:spacing w:line="240" w:lineRule="atLeast"/>
            <w:jc w:val="center"/>
            <w:rPr>
              <w:rFonts w:asciiTheme="minorEastAsia" w:hAnsiTheme="minorEastAsia" w:eastAsiaTheme="minorEastAsia"/>
              <w:sz w:val="22"/>
            </w:rPr>
          </w:pPr>
        </w:p>
        <w:p w14:paraId="641D4013">
          <w:pPr>
            <w:spacing w:line="240" w:lineRule="atLeast"/>
            <w:jc w:val="center"/>
            <w:rPr>
              <w:rFonts w:asciiTheme="minorEastAsia" w:hAnsiTheme="minorEastAsia" w:eastAsiaTheme="minorEastAsia"/>
              <w:sz w:val="22"/>
            </w:rPr>
          </w:pPr>
        </w:p>
        <w:p w14:paraId="15856CE6">
          <w:pPr>
            <w:spacing w:line="240" w:lineRule="atLeast"/>
            <w:jc w:val="both"/>
            <w:rPr>
              <w:rFonts w:asciiTheme="minorEastAsia" w:hAnsiTheme="minorEastAsia" w:eastAsiaTheme="minorEastAsia"/>
              <w:sz w:val="22"/>
            </w:rPr>
          </w:pPr>
        </w:p>
        <w:p w14:paraId="1D7A1FA3">
          <w:pPr>
            <w:jc w:val="center"/>
            <w:rPr>
              <w:lang w:val="zh-CN"/>
            </w:rPr>
          </w:pPr>
          <w:r>
            <w:rPr>
              <w:rFonts w:asciiTheme="minorEastAsia" w:hAnsiTheme="minorEastAsia" w:eastAsiaTheme="minorEastAsia" w:cstheme="majorBidi"/>
              <w:szCs w:val="21"/>
            </w:rPr>
            <w:pict>
              <v:rect id="_x0000_i1026" o:spt="1" style="height:3pt;width:311.55pt;" fillcolor="#C4BC96" filled="t" stroked="f" coordsize="21600,21600" o:hr="t" o:hrstd="t" o:hrnoshade="t" o:hralign="center">
                <v:path/>
                <v:fill on="t" color2="#FFFFFF" focussize="0,0"/>
                <v:stroke on="f"/>
                <v:imagedata o:title=""/>
                <o:lock v:ext="edit" aspectratio="f"/>
                <w10:wrap type="none"/>
                <w10:anchorlock/>
              </v:rect>
            </w:pict>
          </w:r>
        </w:p>
      </w:sdtContent>
    </w:sdt>
    <w:sdt>
      <w:sdtPr>
        <w:rPr>
          <w:rFonts w:ascii="Calibri" w:hAnsi="Calibri"/>
          <w:b w:val="0"/>
          <w:bCs w:val="0"/>
          <w:color w:val="auto"/>
          <w:kern w:val="2"/>
          <w:sz w:val="21"/>
          <w:szCs w:val="22"/>
          <w:lang w:val="zh-CN"/>
        </w:rPr>
        <w:id w:val="-1584755868"/>
      </w:sdtPr>
      <w:sdtEndPr>
        <w:rPr>
          <w:rFonts w:ascii="Calibri" w:hAnsi="Calibr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14:paraId="6D58A270">
          <w:pPr>
            <w:pStyle w:val="28"/>
            <w:jc w:val="center"/>
            <w:rPr>
              <w:color w:val="auto"/>
            </w:rPr>
          </w:pPr>
          <w:r>
            <w:rPr>
              <w:color w:val="auto"/>
              <w:lang w:val="zh-CN"/>
            </w:rPr>
            <w:t>目录</w:t>
          </w:r>
        </w:p>
        <w:p w14:paraId="0DC016FB">
          <w:pPr>
            <w:pStyle w:val="14"/>
            <w:tabs>
              <w:tab w:val="right" w:leader="dot" w:pos="8306"/>
            </w:tabs>
          </w:pPr>
          <w:r>
            <w:rPr>
              <w:b/>
              <w:bCs/>
              <w:caps/>
            </w:rPr>
            <w:fldChar w:fldCharType="begin"/>
          </w:r>
          <w:r>
            <w:instrText xml:space="preserve"> TOC \o "1-3" \h \z \u </w:instrText>
          </w:r>
          <w:r>
            <w:rPr>
              <w:b/>
              <w:bCs/>
              <w:caps/>
            </w:rPr>
            <w:fldChar w:fldCharType="separate"/>
          </w:r>
          <w:r>
            <w:rPr>
              <w:bCs/>
              <w:caps/>
            </w:rPr>
            <w:fldChar w:fldCharType="begin"/>
          </w:r>
          <w:r>
            <w:rPr>
              <w:bCs/>
              <w:caps/>
            </w:rPr>
            <w:instrText xml:space="preserve"> HYPERLINK \l _Toc20078 </w:instrText>
          </w:r>
          <w:r>
            <w:rPr>
              <w:bCs/>
              <w:caps/>
            </w:rPr>
            <w:fldChar w:fldCharType="separate"/>
          </w:r>
          <w:r>
            <w:rPr>
              <w:rFonts w:hint="default"/>
              <w:szCs w:val="36"/>
              <w:lang w:val="en-US"/>
            </w:rPr>
            <w:t xml:space="preserve">第一章 </w:t>
          </w:r>
          <w:r>
            <w:rPr>
              <w:rFonts w:hint="eastAsia"/>
              <w:szCs w:val="36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_Toc20078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caps/>
            </w:rPr>
            <w:fldChar w:fldCharType="end"/>
          </w:r>
        </w:p>
        <w:p w14:paraId="1EBD5F0A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_Toc24072 </w:instrText>
          </w:r>
          <w:r>
            <w:fldChar w:fldCharType="separate"/>
          </w:r>
          <w:r>
            <w:rPr>
              <w:rFonts w:hint="default"/>
              <w:szCs w:val="28"/>
              <w:lang w:val="en-US" w:eastAsia="zh-CN"/>
            </w:rPr>
            <w:t xml:space="preserve">1.1. </w:t>
          </w:r>
          <w:r>
            <w:rPr>
              <w:rFonts w:hint="eastAsia"/>
              <w:szCs w:val="28"/>
              <w:lang w:val="en-US" w:eastAsia="zh-CN"/>
            </w:rPr>
            <w:t>登录入口</w:t>
          </w:r>
          <w:r>
            <w:tab/>
          </w:r>
          <w:r>
            <w:fldChar w:fldCharType="begin"/>
          </w:r>
          <w:r>
            <w:instrText xml:space="preserve"> PAGEREF _Toc24072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48757CA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_Toc20768 </w:instrText>
          </w:r>
          <w:r>
            <w:fldChar w:fldCharType="separate"/>
          </w:r>
          <w:r>
            <w:rPr>
              <w:rFonts w:hint="default"/>
              <w:szCs w:val="28"/>
            </w:rPr>
            <w:t xml:space="preserve">1.2. </w:t>
          </w:r>
          <w:r>
            <w:rPr>
              <w:rFonts w:hint="eastAsia"/>
              <w:szCs w:val="28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_Toc20768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806250C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_Toc23507 </w:instrText>
          </w:r>
          <w:r>
            <w:fldChar w:fldCharType="separate"/>
          </w:r>
          <w:r>
            <w:rPr>
              <w:rFonts w:hint="default"/>
              <w:szCs w:val="36"/>
              <w:lang w:val="en-US"/>
            </w:rPr>
            <w:t xml:space="preserve">第二章 </w:t>
          </w:r>
          <w:r>
            <w:rPr>
              <w:rFonts w:hint="eastAsia"/>
              <w:szCs w:val="36"/>
              <w:lang w:val="en-US" w:eastAsia="zh-CN"/>
            </w:rPr>
            <w:t>个人中心</w:t>
          </w:r>
          <w:r>
            <w:tab/>
          </w:r>
          <w:r>
            <w:fldChar w:fldCharType="begin"/>
          </w:r>
          <w:r>
            <w:instrText xml:space="preserve"> PAGEREF _Toc23507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29EC31A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_Toc29367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2.1. 我的</w:t>
          </w:r>
          <w:r>
            <w:tab/>
          </w:r>
          <w:r>
            <w:fldChar w:fldCharType="begin"/>
          </w:r>
          <w:r>
            <w:instrText xml:space="preserve"> PAGEREF _Toc29367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A3B9E54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_Toc8262 </w:instrText>
          </w:r>
          <w:r>
            <w:fldChar w:fldCharType="separate"/>
          </w:r>
          <w:r>
            <w:rPr>
              <w:rFonts w:hint="default"/>
              <w:szCs w:val="36"/>
              <w:lang w:val="en-US"/>
            </w:rPr>
            <w:t xml:space="preserve">第三章 </w:t>
          </w:r>
          <w:r>
            <w:rPr>
              <w:rFonts w:hint="eastAsia"/>
              <w:szCs w:val="36"/>
              <w:lang w:val="en-US" w:eastAsia="zh-CN"/>
            </w:rPr>
            <w:t>课表</w:t>
          </w:r>
          <w:r>
            <w:tab/>
          </w:r>
          <w:r>
            <w:fldChar w:fldCharType="begin"/>
          </w:r>
          <w:r>
            <w:instrText xml:space="preserve"> PAGEREF _Toc8262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25B43FF4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_Toc15189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3.1</w:t>
          </w:r>
          <w:r>
            <w:rPr>
              <w:rFonts w:hint="eastAsia"/>
              <w:szCs w:val="28"/>
            </w:rPr>
            <w:t>．</w:t>
          </w:r>
          <w:r>
            <w:rPr>
              <w:rFonts w:hint="eastAsia"/>
              <w:szCs w:val="28"/>
              <w:lang w:val="en-US" w:eastAsia="zh-CN"/>
            </w:rPr>
            <w:t>课表</w:t>
          </w:r>
          <w:r>
            <w:tab/>
          </w:r>
          <w:r>
            <w:fldChar w:fldCharType="begin"/>
          </w:r>
          <w:r>
            <w:instrText xml:space="preserve"> PAGEREF _Toc15189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95D7C2B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_Toc20386 </w:instrText>
          </w:r>
          <w:r>
            <w:fldChar w:fldCharType="separate"/>
          </w:r>
          <w:r>
            <w:rPr>
              <w:rFonts w:hint="default"/>
              <w:szCs w:val="36"/>
              <w:lang w:val="en-US"/>
            </w:rPr>
            <w:t xml:space="preserve">第四章 </w:t>
          </w:r>
          <w:r>
            <w:rPr>
              <w:rFonts w:hint="eastAsia"/>
              <w:szCs w:val="36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_Toc20386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2FAEA13A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_Toc12347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4.1. 督导/领导/同行听课</w:t>
          </w:r>
          <w:r>
            <w:tab/>
          </w:r>
          <w:r>
            <w:fldChar w:fldCharType="begin"/>
          </w:r>
          <w:r>
            <w:instrText xml:space="preserve"> PAGEREF _Toc12347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86379AD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_Toc3105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4.2. 教师评学</w:t>
          </w:r>
          <w:r>
            <w:tab/>
          </w:r>
          <w:r>
            <w:fldChar w:fldCharType="begin"/>
          </w:r>
          <w:r>
            <w:instrText xml:space="preserve"> PAGEREF _Toc3105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049FA92B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</w:t>
          </w:r>
          <w:r>
            <w:rPr>
              <w:rFonts w:hint="eastAsia"/>
            </w:rPr>
            <w:t>．</w:t>
          </w:r>
          <w:r>
            <w:rPr>
              <w:rFonts w:hint="eastAsia"/>
              <w:lang w:val="en-US" w:eastAsia="zh-CN"/>
            </w:rPr>
            <w:t>评教大数据</w:t>
          </w:r>
          <w:r>
            <w:tab/>
          </w:r>
          <w:r>
            <w:fldChar w:fldCharType="begin"/>
          </w:r>
          <w:r>
            <w:instrText xml:space="preserve"> PAGEREF _Toc15567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23DB4107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_Toc25945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</w:t>
          </w:r>
          <w:r>
            <w:rPr>
              <w:rFonts w:hint="eastAsia"/>
            </w:rPr>
            <w:t>．</w:t>
          </w:r>
          <w:r>
            <w:rPr>
              <w:rFonts w:hint="eastAsia"/>
              <w:lang w:val="en-US" w:eastAsia="zh-CN"/>
            </w:rPr>
            <w:t>听课大数据</w:t>
          </w:r>
          <w:r>
            <w:tab/>
          </w:r>
          <w:r>
            <w:fldChar w:fldCharType="begin"/>
          </w:r>
          <w:r>
            <w:instrText xml:space="preserve"> PAGEREF _Toc25945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280C96FB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_Toc25833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</w:t>
          </w:r>
          <w:r>
            <w:rPr>
              <w:rFonts w:hint="eastAsia"/>
            </w:rPr>
            <w:t>．</w:t>
          </w:r>
          <w:r>
            <w:rPr>
              <w:rFonts w:hint="eastAsia"/>
              <w:lang w:val="en-US" w:eastAsia="zh-CN"/>
            </w:rPr>
            <w:t>课堂点名（教师）</w:t>
          </w:r>
          <w:r>
            <w:tab/>
          </w:r>
          <w:r>
            <w:fldChar w:fldCharType="begin"/>
          </w:r>
          <w:r>
            <w:instrText xml:space="preserve"> PAGEREF _Toc25833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32880C39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_Toc16347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4.6. 调研问卷</w:t>
          </w:r>
          <w:r>
            <w:tab/>
          </w:r>
          <w:r>
            <w:fldChar w:fldCharType="begin"/>
          </w:r>
          <w:r>
            <w:instrText xml:space="preserve"> PAGEREF _Toc16347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38825ED9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_Toc4754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4.7. 教学附件上传</w:t>
          </w:r>
          <w:r>
            <w:tab/>
          </w:r>
          <w:r>
            <w:fldChar w:fldCharType="begin"/>
          </w:r>
          <w:r>
            <w:instrText xml:space="preserve"> PAGEREF _Toc4754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9D15BF7">
          <w:r>
            <w:fldChar w:fldCharType="end"/>
          </w:r>
        </w:p>
      </w:sdtContent>
    </w:sdt>
    <w:p w14:paraId="1C21382B">
      <w:pPr>
        <w:rPr>
          <w:b/>
          <w:sz w:val="28"/>
          <w:szCs w:val="28"/>
        </w:rPr>
      </w:pPr>
    </w:p>
    <w:p w14:paraId="6C60FE99">
      <w:pPr>
        <w:rPr>
          <w:b/>
          <w:sz w:val="28"/>
          <w:szCs w:val="28"/>
        </w:rPr>
      </w:pPr>
    </w:p>
    <w:p w14:paraId="6EDFDD96">
      <w:pPr>
        <w:rPr>
          <w:b/>
          <w:sz w:val="28"/>
          <w:szCs w:val="28"/>
        </w:rPr>
      </w:pPr>
    </w:p>
    <w:p w14:paraId="58AFAB95">
      <w:pPr>
        <w:rPr>
          <w:b/>
          <w:sz w:val="28"/>
          <w:szCs w:val="28"/>
        </w:rPr>
      </w:pPr>
    </w:p>
    <w:p w14:paraId="2B0DE2CD">
      <w:pPr>
        <w:rPr>
          <w:b/>
          <w:sz w:val="28"/>
          <w:szCs w:val="28"/>
        </w:rPr>
      </w:pPr>
    </w:p>
    <w:p w14:paraId="05D6CD82">
      <w:pPr>
        <w:rPr>
          <w:b/>
          <w:sz w:val="28"/>
          <w:szCs w:val="28"/>
        </w:rPr>
      </w:pPr>
    </w:p>
    <w:p w14:paraId="62B15832">
      <w:pPr>
        <w:rPr>
          <w:b/>
          <w:sz w:val="28"/>
          <w:szCs w:val="28"/>
        </w:rPr>
      </w:pPr>
    </w:p>
    <w:p w14:paraId="02B33693">
      <w:pPr>
        <w:rPr>
          <w:b/>
          <w:sz w:val="28"/>
          <w:szCs w:val="28"/>
        </w:rPr>
      </w:pPr>
    </w:p>
    <w:p w14:paraId="5CB0D8B4">
      <w:pPr>
        <w:rPr>
          <w:b/>
          <w:sz w:val="28"/>
          <w:szCs w:val="28"/>
        </w:rPr>
      </w:pPr>
    </w:p>
    <w:p w14:paraId="3EE57B8D">
      <w:pPr>
        <w:rPr>
          <w:b/>
          <w:sz w:val="28"/>
          <w:szCs w:val="28"/>
        </w:rPr>
      </w:pPr>
    </w:p>
    <w:p w14:paraId="46BC6D59">
      <w:pPr>
        <w:rPr>
          <w:b/>
          <w:sz w:val="28"/>
          <w:szCs w:val="28"/>
        </w:rPr>
      </w:pPr>
    </w:p>
    <w:p w14:paraId="169E4691">
      <w:pPr>
        <w:rPr>
          <w:b/>
          <w:sz w:val="28"/>
          <w:szCs w:val="28"/>
        </w:rPr>
      </w:pPr>
    </w:p>
    <w:p w14:paraId="4BC3DD43">
      <w:pPr>
        <w:rPr>
          <w:b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283" w:footer="964" w:gutter="0"/>
          <w:pgNumType w:fmt="upperRoman" w:start="0"/>
          <w:cols w:space="425" w:num="1"/>
          <w:titlePg/>
          <w:docGrid w:type="lines" w:linePitch="312" w:charSpace="0"/>
        </w:sectPr>
      </w:pPr>
    </w:p>
    <w:p w14:paraId="55D53A5C">
      <w:pPr>
        <w:pStyle w:val="2"/>
        <w:numPr>
          <w:ilvl w:val="0"/>
          <w:numId w:val="1"/>
        </w:numPr>
        <w:snapToGrid w:val="0"/>
        <w:spacing w:after="0" w:line="240" w:lineRule="atLeast"/>
        <w:ind w:left="1862" w:hanging="1728" w:hangingChars="478"/>
        <w:jc w:val="center"/>
        <w:rPr>
          <w:rFonts w:hint="eastAsia"/>
          <w:sz w:val="36"/>
          <w:szCs w:val="36"/>
        </w:rPr>
      </w:pPr>
      <w:bookmarkStart w:id="1" w:name="_Toc481075627"/>
      <w:bookmarkStart w:id="2" w:name="_Toc331972144"/>
      <w:bookmarkStart w:id="3" w:name="_Toc342400176"/>
      <w:bookmarkStart w:id="4" w:name="_Toc481075630"/>
      <w:bookmarkStart w:id="5" w:name="_Toc342379583"/>
      <w:bookmarkStart w:id="6" w:name="_Toc342400159"/>
      <w:bookmarkStart w:id="7" w:name="_Toc342383632"/>
      <w:bookmarkStart w:id="8" w:name="_Toc342383615"/>
      <w:r>
        <w:rPr>
          <w:rFonts w:hint="eastAsia"/>
          <w:sz w:val="36"/>
          <w:szCs w:val="36"/>
          <w:lang w:val="en-US" w:eastAsia="zh-CN"/>
        </w:rPr>
        <w:t xml:space="preserve"> </w:t>
      </w:r>
      <w:bookmarkStart w:id="9" w:name="_Toc13110"/>
      <w:bookmarkStart w:id="10" w:name="_Toc14110"/>
      <w:r>
        <w:rPr>
          <w:rFonts w:hint="eastAsia"/>
          <w:sz w:val="36"/>
          <w:szCs w:val="36"/>
        </w:rPr>
        <w:t>登录</w:t>
      </w:r>
      <w:bookmarkEnd w:id="1"/>
      <w:bookmarkEnd w:id="9"/>
      <w:bookmarkEnd w:id="10"/>
    </w:p>
    <w:p w14:paraId="17B4455B">
      <w:pPr>
        <w:pStyle w:val="4"/>
        <w:snapToGrid w:val="0"/>
        <w:spacing w:before="0" w:after="0" w:line="276" w:lineRule="auto"/>
        <w:rPr>
          <w:rFonts w:hint="default" w:eastAsia="宋体"/>
          <w:sz w:val="28"/>
          <w:szCs w:val="28"/>
          <w:lang w:val="en-US" w:eastAsia="zh-CN"/>
        </w:rPr>
      </w:pPr>
      <w:bookmarkStart w:id="11" w:name="_Toc21029"/>
      <w:bookmarkStart w:id="12" w:name="_Toc331972143"/>
      <w:bookmarkStart w:id="13" w:name="_Toc342400158"/>
      <w:bookmarkStart w:id="14" w:name="_Toc481075628"/>
      <w:bookmarkStart w:id="15" w:name="_Toc342379582"/>
      <w:bookmarkStart w:id="16" w:name="_Toc342383614"/>
      <w:bookmarkStart w:id="17" w:name="_Toc29758"/>
      <w:r>
        <w:rPr>
          <w:rFonts w:hint="eastAsia"/>
          <w:sz w:val="28"/>
          <w:szCs w:val="28"/>
        </w:rPr>
        <w:t>1.1</w:t>
      </w:r>
      <w:bookmarkEnd w:id="11"/>
      <w:bookmarkEnd w:id="12"/>
      <w:bookmarkEnd w:id="13"/>
      <w:bookmarkEnd w:id="14"/>
      <w:bookmarkEnd w:id="15"/>
      <w:bookmarkEnd w:id="16"/>
      <w:bookmarkEnd w:id="17"/>
      <w:r>
        <w:rPr>
          <w:rFonts w:hint="eastAsia"/>
          <w:sz w:val="28"/>
          <w:szCs w:val="28"/>
          <w:lang w:val="en-US" w:eastAsia="zh-CN"/>
        </w:rPr>
        <w:t>登录方式</w:t>
      </w:r>
    </w:p>
    <w:p w14:paraId="1C7F4100">
      <w:pPr>
        <w:pStyle w:val="19"/>
        <w:keepNext w:val="0"/>
        <w:keepLines w:val="0"/>
        <w:widowControl/>
        <w:suppressLineNumbers w:val="0"/>
        <w:ind w:firstLine="480" w:firstLineChars="200"/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使用手机钉钉，</w:t>
      </w:r>
      <w:r>
        <w:t xml:space="preserve">打开钉钉工作台，搜索 “教学质量评价系统”，点击“在线办理”进入系统。 </w:t>
      </w:r>
    </w:p>
    <w:p w14:paraId="38BDBD2D">
      <w:pPr>
        <w:numPr>
          <w:ilvl w:val="0"/>
          <w:numId w:val="0"/>
        </w:numPr>
        <w:spacing w:line="300" w:lineRule="auto"/>
        <w:ind w:firstLine="420" w:firstLineChars="200"/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default" w:asciiTheme="minorEastAsia" w:hAnsiTheme="minorEastAsia" w:eastAsiaTheme="minorEastAsia"/>
          <w:szCs w:val="21"/>
          <w:lang w:val="en-US" w:eastAsia="zh-CN"/>
        </w:rPr>
        <w:drawing>
          <wp:inline distT="0" distB="0" distL="114300" distR="114300">
            <wp:extent cx="2586990" cy="2421255"/>
            <wp:effectExtent l="0" t="0" r="3810" b="4445"/>
            <wp:docPr id="1" name="图片 1" descr="IMG_4504.PNG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504.PNG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FBB4">
      <w:pPr>
        <w:pStyle w:val="4"/>
        <w:snapToGrid w:val="0"/>
        <w:spacing w:before="0" w:after="0" w:line="276" w:lineRule="auto"/>
        <w:jc w:val="center"/>
        <w:rPr>
          <w:rFonts w:hint="eastAsia" w:eastAsia="宋体"/>
          <w:sz w:val="28"/>
          <w:szCs w:val="28"/>
          <w:lang w:eastAsia="zh-CN"/>
        </w:rPr>
      </w:pPr>
      <w:bookmarkStart w:id="18" w:name="_Toc481075629"/>
      <w:bookmarkStart w:id="19" w:name="_Toc480303404"/>
      <w:bookmarkStart w:id="20" w:name="_Toc26312"/>
      <w:bookmarkStart w:id="21" w:name="_Toc18075"/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524125" cy="2289810"/>
            <wp:effectExtent l="0" t="0" r="3175" b="8890"/>
            <wp:docPr id="27" name="图片 27" descr="IMG_67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675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85C6">
      <w:pPr>
        <w:pStyle w:val="4"/>
        <w:snapToGrid w:val="0"/>
        <w:spacing w:before="0" w:after="0" w:line="276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1.2</w:t>
      </w:r>
      <w:bookmarkEnd w:id="18"/>
      <w:bookmarkEnd w:id="19"/>
      <w:r>
        <w:rPr>
          <w:rFonts w:hint="eastAsia"/>
          <w:sz w:val="28"/>
          <w:szCs w:val="28"/>
        </w:rPr>
        <w:t>登录</w:t>
      </w:r>
      <w:bookmarkEnd w:id="20"/>
      <w:bookmarkEnd w:id="21"/>
    </w:p>
    <w:p w14:paraId="6FB52551">
      <w:pPr>
        <w:pStyle w:val="19"/>
        <w:keepNext w:val="0"/>
        <w:keepLines w:val="0"/>
        <w:widowControl/>
        <w:suppressLineNumbers w:val="0"/>
        <w:ind w:firstLine="480" w:firstLineChars="200"/>
        <w:jc w:val="left"/>
      </w:pPr>
      <w:r>
        <w:t xml:space="preserve">输入账户与密码，点击“登录”按钮，进入客户端。（用户名为10位工号，初始密码为工号的倒序，例如：工号为123456，密码为654321） </w:t>
      </w:r>
    </w:p>
    <w:p w14:paraId="394A67B1">
      <w:pPr>
        <w:pStyle w:val="19"/>
        <w:keepNext w:val="0"/>
        <w:keepLines w:val="0"/>
        <w:widowControl/>
        <w:suppressLineNumbers w:val="0"/>
        <w:ind w:firstLine="480" w:firstLineChars="200"/>
        <w:jc w:val="center"/>
      </w:pPr>
    </w:p>
    <w:p w14:paraId="32809D15">
      <w:pPr>
        <w:pStyle w:val="19"/>
        <w:keepNext w:val="0"/>
        <w:keepLines w:val="0"/>
        <w:widowControl/>
        <w:suppressLineNumbers w:val="0"/>
        <w:ind w:firstLine="480" w:firstLineChars="200"/>
        <w:jc w:val="center"/>
        <w:rPr>
          <w:rFonts w:hint="eastAsia" w:asciiTheme="minorEastAsia" w:hAnsiTheme="minorEastAsia" w:eastAsiaTheme="minorEastAsia"/>
          <w:color w:val="FF0000"/>
          <w:szCs w:val="21"/>
          <w:lang w:eastAsia="zh-CN"/>
        </w:rPr>
      </w:pPr>
      <w:r>
        <w:drawing>
          <wp:inline distT="0" distB="0" distL="114300" distR="114300">
            <wp:extent cx="3091180" cy="3977640"/>
            <wp:effectExtent l="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25588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96B6E">
      <w:pPr>
        <w:jc w:val="center"/>
        <w:rPr>
          <w:rFonts w:hint="eastAsia"/>
        </w:rPr>
      </w:pPr>
    </w:p>
    <w:p w14:paraId="649AFEEC">
      <w:pPr>
        <w:jc w:val="both"/>
      </w:pPr>
    </w:p>
    <w:p w14:paraId="0D380C5C">
      <w:pPr>
        <w:rPr>
          <w:sz w:val="36"/>
          <w:szCs w:val="36"/>
        </w:rPr>
      </w:pPr>
      <w:bookmarkStart w:id="22" w:name="_Toc20822"/>
      <w:bookmarkStart w:id="23" w:name="_Toc26193"/>
      <w:r>
        <w:rPr>
          <w:rFonts w:hint="eastAsia"/>
          <w:sz w:val="36"/>
          <w:szCs w:val="36"/>
          <w:lang w:val="en-US" w:eastAsia="zh-CN"/>
        </w:rPr>
        <w:br w:type="page"/>
      </w:r>
    </w:p>
    <w:p w14:paraId="0DB4D9B5">
      <w:pPr>
        <w:pStyle w:val="2"/>
        <w:numPr>
          <w:ilvl w:val="0"/>
          <w:numId w:val="1"/>
        </w:numPr>
        <w:snapToGrid w:val="0"/>
        <w:spacing w:after="0" w:line="240" w:lineRule="atLeast"/>
        <w:ind w:left="1862" w:hanging="1728" w:hangingChars="478"/>
        <w:jc w:val="center"/>
        <w:rPr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 xml:space="preserve"> </w:t>
      </w:r>
      <w:bookmarkStart w:id="24" w:name="_Toc23507"/>
      <w:r>
        <w:rPr>
          <w:rFonts w:hint="eastAsia"/>
          <w:sz w:val="36"/>
          <w:szCs w:val="36"/>
          <w:lang w:val="en-US" w:eastAsia="zh-CN"/>
        </w:rPr>
        <w:t>个人中心</w:t>
      </w:r>
      <w:bookmarkEnd w:id="22"/>
      <w:bookmarkEnd w:id="23"/>
      <w:bookmarkEnd w:id="24"/>
    </w:p>
    <w:p w14:paraId="62D2ED37">
      <w:pPr>
        <w:spacing w:line="300" w:lineRule="auto"/>
        <w:rPr>
          <w:rFonts w:hint="eastAsia" w:asciiTheme="minorEastAsia" w:hAnsiTheme="minorEastAsia" w:eastAsiaTheme="minorEastAsia"/>
          <w:szCs w:val="21"/>
        </w:rPr>
      </w:pPr>
    </w:p>
    <w:p w14:paraId="1409FC07">
      <w:pPr>
        <w:pStyle w:val="4"/>
        <w:numPr>
          <w:ilvl w:val="0"/>
          <w:numId w:val="0"/>
        </w:numPr>
        <w:snapToGrid w:val="0"/>
        <w:spacing w:before="0" w:after="0" w:line="276" w:lineRule="auto"/>
        <w:ind w:leftChars="0"/>
        <w:rPr>
          <w:rFonts w:hint="eastAsia"/>
          <w:sz w:val="28"/>
          <w:szCs w:val="28"/>
          <w:lang w:val="en-US" w:eastAsia="zh-CN"/>
        </w:rPr>
      </w:pPr>
      <w:bookmarkStart w:id="25" w:name="_Toc29367"/>
      <w:r>
        <w:rPr>
          <w:rFonts w:hint="eastAsia"/>
          <w:sz w:val="28"/>
          <w:szCs w:val="28"/>
          <w:lang w:val="en-US" w:eastAsia="zh-CN"/>
        </w:rPr>
        <w:t>2.1. 我的</w:t>
      </w:r>
      <w:bookmarkEnd w:id="25"/>
    </w:p>
    <w:p w14:paraId="392AC0D5">
      <w:pPr>
        <w:pStyle w:val="19"/>
        <w:keepNext w:val="0"/>
        <w:keepLines w:val="0"/>
        <w:widowControl/>
        <w:suppressLineNumbers w:val="0"/>
        <w:ind w:firstLine="480" w:firstLineChars="200"/>
        <w:rPr>
          <w:rFonts w:hint="default"/>
          <w:lang w:val="en-US" w:eastAsia="zh-CN"/>
        </w:rPr>
      </w:pPr>
      <w:r>
        <w:t xml:space="preserve">点击首页下方“我的”图标，进入个人中心，可以选择消息中心、意见反馈、语言切换等栏目。 </w:t>
      </w:r>
    </w:p>
    <w:p w14:paraId="3FE43D97">
      <w:pPr>
        <w:spacing w:line="360" w:lineRule="auto"/>
        <w:jc w:val="center"/>
      </w:pPr>
      <w:r>
        <w:drawing>
          <wp:inline distT="0" distB="0" distL="114300" distR="114300">
            <wp:extent cx="2561590" cy="3760470"/>
            <wp:effectExtent l="0" t="0" r="7620" b="698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548A3">
      <w:pPr>
        <w:jc w:val="both"/>
        <w:rPr>
          <w:rFonts w:hint="eastAsia" w:asciiTheme="minorEastAsia" w:hAnsiTheme="minorEastAsia" w:eastAsiaTheme="minorEastAsia"/>
          <w:szCs w:val="21"/>
          <w:lang w:val="en-US" w:eastAsia="zh-CN"/>
        </w:rPr>
        <w:sectPr>
          <w:type w:val="continuous"/>
          <w:pgSz w:w="11906" w:h="16838"/>
          <w:pgMar w:top="1440" w:right="1800" w:bottom="1440" w:left="1800" w:header="283" w:footer="964" w:gutter="0"/>
          <w:cols w:space="425" w:num="1"/>
          <w:docGrid w:type="lines" w:linePitch="312" w:charSpace="0"/>
        </w:sectPr>
      </w:pPr>
      <w:r>
        <w:rPr>
          <w:rFonts w:hint="eastAsia"/>
        </w:rPr>
        <w:t xml:space="preserve">             </w:t>
      </w:r>
    </w:p>
    <w:bookmarkEnd w:id="2"/>
    <w:bookmarkEnd w:id="3"/>
    <w:bookmarkEnd w:id="4"/>
    <w:bookmarkEnd w:id="5"/>
    <w:bookmarkEnd w:id="6"/>
    <w:bookmarkEnd w:id="7"/>
    <w:bookmarkEnd w:id="8"/>
    <w:p w14:paraId="28C99D99">
      <w:pPr>
        <w:pStyle w:val="2"/>
        <w:numPr>
          <w:ilvl w:val="0"/>
          <w:numId w:val="1"/>
        </w:numPr>
        <w:snapToGrid w:val="0"/>
        <w:spacing w:after="0" w:line="240" w:lineRule="atLeast"/>
        <w:ind w:left="1862" w:hanging="1728" w:hangingChars="478"/>
        <w:jc w:val="center"/>
        <w:rPr>
          <w:sz w:val="36"/>
          <w:szCs w:val="36"/>
        </w:rPr>
      </w:pPr>
      <w:bookmarkStart w:id="26" w:name="_Toc481075640"/>
      <w:r>
        <w:rPr>
          <w:rFonts w:hint="eastAsia"/>
          <w:sz w:val="36"/>
          <w:szCs w:val="36"/>
        </w:rPr>
        <w:t xml:space="preserve"> </w:t>
      </w:r>
      <w:bookmarkStart w:id="27" w:name="_Toc8262"/>
      <w:bookmarkStart w:id="28" w:name="_Toc19838"/>
      <w:r>
        <w:rPr>
          <w:rFonts w:hint="eastAsia"/>
          <w:sz w:val="36"/>
          <w:szCs w:val="36"/>
          <w:lang w:val="en-US" w:eastAsia="zh-CN"/>
        </w:rPr>
        <w:t>课表</w:t>
      </w:r>
      <w:bookmarkEnd w:id="27"/>
      <w:bookmarkEnd w:id="28"/>
    </w:p>
    <w:p w14:paraId="411C13F3">
      <w:pPr>
        <w:spacing w:line="300" w:lineRule="auto"/>
        <w:rPr>
          <w:rFonts w:asciiTheme="minorEastAsia" w:hAnsiTheme="minorEastAsia" w:eastAsiaTheme="minorEastAsia"/>
          <w:szCs w:val="21"/>
        </w:rPr>
      </w:pPr>
    </w:p>
    <w:p w14:paraId="7CEFA953">
      <w:pPr>
        <w:pStyle w:val="4"/>
        <w:snapToGrid w:val="0"/>
        <w:spacing w:before="0" w:after="0" w:line="276" w:lineRule="auto"/>
        <w:rPr>
          <w:rFonts w:hint="eastAsia"/>
          <w:sz w:val="28"/>
          <w:szCs w:val="28"/>
          <w:lang w:val="en-US" w:eastAsia="zh-CN"/>
        </w:rPr>
      </w:pPr>
      <w:bookmarkStart w:id="29" w:name="_Toc15189"/>
      <w:bookmarkStart w:id="30" w:name="_Toc27942"/>
      <w:bookmarkStart w:id="31" w:name="_Toc7139"/>
      <w:r>
        <w:rPr>
          <w:rFonts w:hint="eastAsia"/>
          <w:sz w:val="28"/>
          <w:szCs w:val="28"/>
          <w:lang w:val="en-US" w:eastAsia="zh-CN"/>
        </w:rPr>
        <w:t>3.1</w:t>
      </w:r>
      <w:r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  <w:lang w:val="en-US" w:eastAsia="zh-CN"/>
        </w:rPr>
        <w:t>课表</w:t>
      </w:r>
      <w:bookmarkEnd w:id="29"/>
      <w:bookmarkEnd w:id="30"/>
      <w:bookmarkEnd w:id="31"/>
    </w:p>
    <w:p w14:paraId="13AD91D9">
      <w:pPr>
        <w:pStyle w:val="19"/>
        <w:keepNext w:val="0"/>
        <w:keepLines w:val="0"/>
        <w:widowControl/>
        <w:suppressLineNumbers w:val="0"/>
        <w:ind w:firstLine="480" w:firstLineChars="200"/>
      </w:pPr>
      <w:r>
        <w:t>点击首页下方“我的日程”进入课表页面，课表页默认展示本周课表（图</w:t>
      </w:r>
      <w:r>
        <w:rPr>
          <w:rFonts w:hint="eastAsia"/>
          <w:lang w:val="en-US" w:eastAsia="zh-CN"/>
        </w:rPr>
        <w:t>3-</w:t>
      </w:r>
      <w:r>
        <w:t>1)。单击课程图标，显示课程基本信息(图</w:t>
      </w:r>
      <w:r>
        <w:rPr>
          <w:rFonts w:hint="eastAsia"/>
          <w:lang w:val="en-US" w:eastAsia="zh-CN"/>
        </w:rPr>
        <w:t>3-2</w:t>
      </w:r>
      <w:r>
        <w:t>)。点击页标题“周次”，可选择本学期任意周次，查看其他周的课程安排(图3</w:t>
      </w:r>
      <w:r>
        <w:rPr>
          <w:rFonts w:hint="eastAsia"/>
          <w:lang w:val="en-US" w:eastAsia="zh-CN"/>
        </w:rPr>
        <w:t>-3</w:t>
      </w:r>
      <w:r>
        <w:t xml:space="preserve">)。 </w:t>
      </w:r>
    </w:p>
    <w:p w14:paraId="7028624F">
      <w:pPr>
        <w:pStyle w:val="29"/>
        <w:ind w:firstLine="0" w:firstLineChars="0"/>
        <w:jc w:val="center"/>
        <w:rPr>
          <w:rFonts w:ascii="宋体" w:hAnsi="宋体"/>
        </w:rPr>
      </w:pPr>
      <w:r>
        <w:drawing>
          <wp:inline distT="0" distB="0" distL="114300" distR="114300">
            <wp:extent cx="1584325" cy="2879725"/>
            <wp:effectExtent l="0" t="0" r="2540" b="2540"/>
            <wp:docPr id="29" name="图片 12" descr="C:/Users/82448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C:/Users/82448/Desktop/1.png1"/>
                    <pic:cNvPicPr>
                      <a:picLocks noChangeAspect="1"/>
                    </pic:cNvPicPr>
                  </pic:nvPicPr>
                  <pic:blipFill>
                    <a:blip r:embed="rId9"/>
                    <a:srcRect l="5491" r="5491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84325" cy="2879725"/>
            <wp:effectExtent l="0" t="0" r="2540" b="2540"/>
            <wp:docPr id="30" name="图片 13" descr="C:/Users/82448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C:/Users/82448/Desktop/2.png2"/>
                    <pic:cNvPicPr>
                      <a:picLocks noChangeAspect="1"/>
                    </pic:cNvPicPr>
                  </pic:nvPicPr>
                  <pic:blipFill>
                    <a:blip r:embed="rId10"/>
                    <a:srcRect l="4388" r="4388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 </w:t>
      </w:r>
      <w:r>
        <w:drawing>
          <wp:inline distT="0" distB="0" distL="114300" distR="114300">
            <wp:extent cx="1577340" cy="2879725"/>
            <wp:effectExtent l="0" t="0" r="9525" b="2540"/>
            <wp:docPr id="32" name="图片 14" descr="C:/Users/82448/Desktop/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 descr="C:/Users/82448/Desktop/3.png3"/>
                    <pic:cNvPicPr>
                      <a:picLocks noChangeAspect="1"/>
                    </pic:cNvPicPr>
                  </pic:nvPicPr>
                  <pic:blipFill>
                    <a:blip r:embed="rId11"/>
                    <a:srcRect l="3396" r="3396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6D029">
      <w:pPr>
        <w:ind w:firstLine="1050" w:firstLineChars="500"/>
        <w:jc w:val="both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/>
        </w:rPr>
        <w:t>图</w:t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</w:rPr>
        <w:t>-</w:t>
      </w:r>
      <w:r>
        <w:rPr>
          <w:rFonts w:ascii="宋体" w:hAnsi="宋体"/>
        </w:rPr>
        <w:t xml:space="preserve">1                     </w:t>
      </w:r>
      <w:r>
        <w:rPr>
          <w:rFonts w:hint="eastAsia" w:ascii="宋体" w:hAnsi="宋体"/>
        </w:rPr>
        <w:t>图</w:t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</w:rPr>
        <w:t>-</w:t>
      </w:r>
      <w:r>
        <w:rPr>
          <w:rFonts w:ascii="宋体" w:hAnsi="宋体"/>
        </w:rPr>
        <w:t>2</w:t>
      </w:r>
      <w:r>
        <w:rPr>
          <w:rFonts w:hint="eastAsia" w:ascii="宋体" w:hAnsi="宋体"/>
          <w:lang w:val="en-US" w:eastAsia="zh-CN"/>
        </w:rPr>
        <w:t xml:space="preserve">                 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图</w:t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</w:rPr>
        <w:t>-</w:t>
      </w:r>
      <w:r>
        <w:rPr>
          <w:rFonts w:hint="eastAsia" w:ascii="宋体" w:hAnsi="宋体"/>
          <w:lang w:val="en-US" w:eastAsia="zh-CN"/>
        </w:rPr>
        <w:t>3</w:t>
      </w:r>
    </w:p>
    <w:p w14:paraId="16039AE9">
      <w:pPr>
        <w:ind w:firstLine="1050" w:firstLineChars="500"/>
        <w:jc w:val="both"/>
        <w:rPr>
          <w:rFonts w:hint="eastAsia" w:ascii="宋体" w:hAnsi="宋体" w:eastAsia="宋体"/>
          <w:lang w:val="en-US" w:eastAsia="zh-CN"/>
        </w:rPr>
      </w:pPr>
    </w:p>
    <w:p w14:paraId="6EBA91ED">
      <w:pPr>
        <w:jc w:val="center"/>
        <w:rPr>
          <w:rFonts w:ascii="宋体" w:hAnsi="宋体"/>
        </w:rPr>
      </w:pPr>
    </w:p>
    <w:p w14:paraId="3CD612DE">
      <w:pPr>
        <w:jc w:val="center"/>
        <w:rPr>
          <w:rFonts w:ascii="宋体" w:hAnsi="宋体"/>
        </w:rPr>
      </w:pPr>
    </w:p>
    <w:p w14:paraId="60752B75">
      <w:pPr>
        <w:jc w:val="center"/>
        <w:rPr>
          <w:rFonts w:ascii="宋体" w:hAnsi="宋体"/>
        </w:rPr>
      </w:pPr>
    </w:p>
    <w:p w14:paraId="7408AA4D">
      <w:pPr>
        <w:jc w:val="center"/>
        <w:rPr>
          <w:rFonts w:ascii="宋体" w:hAnsi="宋体"/>
        </w:rPr>
      </w:pPr>
    </w:p>
    <w:p w14:paraId="27DE2150">
      <w:pPr>
        <w:jc w:val="center"/>
        <w:rPr>
          <w:rFonts w:ascii="宋体" w:hAnsi="宋体"/>
        </w:rPr>
      </w:pPr>
    </w:p>
    <w:p w14:paraId="1B89F144">
      <w:pPr>
        <w:jc w:val="center"/>
        <w:rPr>
          <w:rFonts w:ascii="宋体" w:hAnsi="宋体"/>
        </w:rPr>
      </w:pPr>
    </w:p>
    <w:p w14:paraId="27120934">
      <w:pPr>
        <w:rPr>
          <w:rFonts w:hint="eastAsia"/>
        </w:rPr>
      </w:pPr>
    </w:p>
    <w:p w14:paraId="290B7FF8">
      <w:pPr>
        <w:rPr>
          <w:rFonts w:hint="eastAsia"/>
        </w:rPr>
      </w:pPr>
    </w:p>
    <w:p w14:paraId="6D55B673">
      <w:pPr>
        <w:rPr>
          <w:rFonts w:hint="eastAsia"/>
        </w:rPr>
      </w:pPr>
    </w:p>
    <w:p w14:paraId="48A9CCBE">
      <w:pPr>
        <w:rPr>
          <w:rFonts w:hint="eastAsia"/>
        </w:rPr>
      </w:pPr>
    </w:p>
    <w:p w14:paraId="62A4914D">
      <w:pPr>
        <w:rPr>
          <w:rFonts w:hint="eastAsia"/>
        </w:rPr>
      </w:pPr>
    </w:p>
    <w:p w14:paraId="34F24A1C">
      <w:pPr>
        <w:rPr>
          <w:rFonts w:hint="eastAsia"/>
        </w:rPr>
      </w:pPr>
    </w:p>
    <w:p w14:paraId="4648DF13">
      <w:pPr>
        <w:rPr>
          <w:rFonts w:hint="eastAsia"/>
        </w:rPr>
      </w:pPr>
    </w:p>
    <w:p w14:paraId="2CBCEAA9">
      <w:pPr>
        <w:rPr>
          <w:rFonts w:hint="eastAsia"/>
        </w:rPr>
      </w:pPr>
    </w:p>
    <w:p w14:paraId="71C99038">
      <w:pPr>
        <w:rPr>
          <w:rFonts w:hint="eastAsia"/>
        </w:rPr>
      </w:pPr>
    </w:p>
    <w:p w14:paraId="4D42A3A0">
      <w:pPr>
        <w:rPr>
          <w:rFonts w:hint="eastAsia"/>
        </w:rPr>
      </w:pPr>
    </w:p>
    <w:p w14:paraId="68437A5D">
      <w:pPr>
        <w:rPr>
          <w:rFonts w:hint="eastAsia"/>
        </w:rPr>
      </w:pPr>
    </w:p>
    <w:p w14:paraId="2B0A6991">
      <w:pPr>
        <w:jc w:val="both"/>
      </w:pPr>
    </w:p>
    <w:p w14:paraId="3C3173F4">
      <w:pPr>
        <w:pStyle w:val="2"/>
        <w:numPr>
          <w:ilvl w:val="0"/>
          <w:numId w:val="1"/>
        </w:numPr>
        <w:snapToGrid w:val="0"/>
        <w:spacing w:after="0" w:line="240" w:lineRule="atLeast"/>
        <w:ind w:left="1862" w:hanging="1728" w:hangingChars="478"/>
        <w:jc w:val="center"/>
        <w:rPr>
          <w:sz w:val="36"/>
          <w:szCs w:val="36"/>
        </w:rPr>
      </w:pPr>
      <w:bookmarkStart w:id="32" w:name="_Toc11225"/>
      <w:r>
        <w:rPr>
          <w:rFonts w:hint="eastAsia"/>
          <w:sz w:val="36"/>
          <w:szCs w:val="36"/>
          <w:lang w:val="en-US" w:eastAsia="zh-CN"/>
        </w:rPr>
        <w:t xml:space="preserve"> </w:t>
      </w:r>
      <w:bookmarkStart w:id="33" w:name="_Toc20386"/>
      <w:r>
        <w:rPr>
          <w:rFonts w:hint="eastAsia"/>
          <w:sz w:val="36"/>
          <w:szCs w:val="36"/>
          <w:lang w:val="en-US" w:eastAsia="zh-CN"/>
        </w:rPr>
        <w:t>首页</w:t>
      </w:r>
      <w:bookmarkEnd w:id="32"/>
      <w:bookmarkEnd w:id="33"/>
    </w:p>
    <w:p w14:paraId="0308D30D"/>
    <w:bookmarkEnd w:id="26"/>
    <w:p w14:paraId="579444D6">
      <w:pPr>
        <w:pStyle w:val="19"/>
        <w:keepNext w:val="0"/>
        <w:keepLines w:val="0"/>
        <w:widowControl/>
        <w:suppressLineNumbers w:val="0"/>
        <w:ind w:firstLine="480" w:firstLineChars="200"/>
      </w:pPr>
      <w:r>
        <w:t xml:space="preserve">首页模块主要用于实现教师在校期间与教学紧密相关的工作，包括：同行听课、评教大数据、听课大数据、问卷调研、教师评学、课堂点名等。 </w:t>
      </w:r>
    </w:p>
    <w:p w14:paraId="2288CCAF">
      <w:pPr>
        <w:spacing w:line="300" w:lineRule="auto"/>
        <w:jc w:val="center"/>
      </w:pPr>
      <w:r>
        <w:drawing>
          <wp:inline distT="0" distB="0" distL="114300" distR="114300">
            <wp:extent cx="2190750" cy="2887345"/>
            <wp:effectExtent l="0" t="0" r="635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2706B">
      <w:pPr>
        <w:pStyle w:val="4"/>
        <w:bidi w:val="0"/>
        <w:spacing w:line="240" w:lineRule="auto"/>
        <w:rPr>
          <w:sz w:val="28"/>
          <w:szCs w:val="28"/>
          <w:lang w:val="en-US"/>
        </w:rPr>
      </w:pPr>
      <w:bookmarkStart w:id="34" w:name="_Toc12347"/>
      <w:r>
        <w:rPr>
          <w:rFonts w:hint="eastAsia"/>
          <w:sz w:val="28"/>
          <w:szCs w:val="28"/>
          <w:lang w:val="en-US" w:eastAsia="zh-CN"/>
        </w:rPr>
        <w:t>4.1. 督导/领导/同行听课</w:t>
      </w:r>
      <w:bookmarkEnd w:id="34"/>
    </w:p>
    <w:p w14:paraId="08FA6B2F">
      <w:pPr>
        <w:pStyle w:val="19"/>
        <w:keepNext w:val="0"/>
        <w:keepLines w:val="0"/>
        <w:widowControl/>
        <w:suppressLineNumbers w:val="0"/>
        <w:ind w:firstLine="480" w:firstLineChars="200"/>
      </w:pPr>
      <w:r>
        <w:t xml:space="preserve">点击相应的听课模块进入（督导和领导人员需要有相应权限才会有对应的模块），同行听课从首页中的同行听课模块进入。 </w:t>
      </w:r>
    </w:p>
    <w:p w14:paraId="79385005">
      <w:pPr>
        <w:spacing w:line="300" w:lineRule="auto"/>
        <w:ind w:firstLine="420" w:firstLineChars="20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442210" cy="2726690"/>
            <wp:effectExtent l="0" t="0" r="889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7A74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4A5033B9">
      <w:pPr>
        <w:pStyle w:val="19"/>
        <w:keepNext w:val="0"/>
        <w:keepLines w:val="0"/>
        <w:widowControl/>
        <w:suppressLineNumbers w:val="0"/>
        <w:ind w:firstLine="480" w:firstLineChars="200"/>
      </w:pPr>
      <w:bookmarkStart w:id="35" w:name="OLE_LINK3"/>
      <w:bookmarkStart w:id="36" w:name="OLE_LINK4"/>
      <w:r>
        <w:t xml:space="preserve">首页的课表信息默认展示当天的课程，其余各栏目解释如下： </w:t>
      </w:r>
    </w:p>
    <w:p w14:paraId="2841B46E">
      <w:pPr>
        <w:spacing w:line="300" w:lineRule="auto"/>
        <w:jc w:val="center"/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905760" cy="3933825"/>
            <wp:effectExtent l="0" t="0" r="8890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E3BA">
      <w:pPr>
        <w:spacing w:line="300" w:lineRule="auto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(1)</w:t>
      </w:r>
      <w:bookmarkEnd w:id="35"/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已听课：</w:t>
      </w:r>
      <w:bookmarkEnd w:id="36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已经听过并填写了听课问卷的列表</w:t>
      </w:r>
    </w:p>
    <w:p w14:paraId="7DAE5F61">
      <w:pPr>
        <w:spacing w:line="300" w:lineRule="auto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7" w:name="OLE_LINK12"/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(2)待提交：</w:t>
      </w:r>
      <w:bookmarkEnd w:id="37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暂时保存但还未提交的的听课问卷列表</w:t>
      </w:r>
    </w:p>
    <w:p w14:paraId="1F71232D">
      <w:pPr>
        <w:spacing w:line="300" w:lineRule="auto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38" w:name="OLE_LINK13"/>
      <w:bookmarkStart w:id="39" w:name="OLE_LINK5"/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(3)可听教师</w:t>
      </w:r>
      <w:bookmarkEnd w:id="38"/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：</w:t>
      </w:r>
      <w:bookmarkEnd w:id="39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可以被听的教师列表</w:t>
      </w:r>
    </w:p>
    <w:p w14:paraId="48C33562">
      <w:pPr>
        <w:spacing w:line="300" w:lineRule="auto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40" w:name="OLE_LINK6"/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(4)我的关注：</w:t>
      </w:r>
      <w:bookmarkEnd w:id="4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这里显示我关注的教师、教师课程、教学班等</w:t>
      </w:r>
    </w:p>
    <w:p w14:paraId="69C07F9B">
      <w:pPr>
        <w:spacing w:line="300" w:lineRule="auto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41" w:name="OLE_LINK7"/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(5)邀请听课：</w:t>
      </w:r>
      <w:bookmarkEnd w:id="4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显示的是其他教师邀请自己去听课的申请，可以查看已同意或拒绝列表</w:t>
      </w:r>
    </w:p>
    <w:p w14:paraId="7E1CCA61">
      <w:pPr>
        <w:spacing w:line="300" w:lineRule="auto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(6)听课计划：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自己计划去听的课程或是管理员分配需要去听的课程</w:t>
      </w:r>
    </w:p>
    <w:p w14:paraId="737883DB">
      <w:pPr>
        <w:spacing w:line="300" w:lineRule="auto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1E99197">
      <w:pPr>
        <w:spacing w:line="300" w:lineRule="auto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FB9F448">
      <w:pPr>
        <w:pStyle w:val="19"/>
        <w:keepNext w:val="0"/>
        <w:keepLines w:val="0"/>
        <w:widowControl/>
        <w:suppressLineNumbers w:val="0"/>
      </w:pPr>
      <w:r>
        <w:t xml:space="preserve">系统提供查询功能，点击页面右上角的“搜索”按钮，可以通过任课教师工号/姓名， 课程号/课程名，上课日期，上课节次，上课地点，开课学院，教师所在学院等进行课表信息查询 </w:t>
      </w:r>
    </w:p>
    <w:p w14:paraId="61A61005">
      <w:pPr>
        <w:spacing w:line="300" w:lineRule="auto"/>
        <w:ind w:firstLine="42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537460" cy="3585845"/>
            <wp:effectExtent l="0" t="0" r="2540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04DD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4D0B14E">
      <w:pPr>
        <w:spacing w:line="30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7405DEB">
      <w:pPr>
        <w:pStyle w:val="19"/>
        <w:keepNext w:val="0"/>
        <w:keepLines w:val="0"/>
        <w:widowControl/>
        <w:suppressLineNumbers w:val="0"/>
        <w:ind w:firstLine="480" w:firstLineChars="200"/>
      </w:pPr>
      <w:r>
        <w:t xml:space="preserve">搜索到对应的课表信息后，可以进入课表的详情页面，展示内容包括：上课日期，周次，星期，课程名称，教师姓名，上课节次，上课地点等。 </w:t>
      </w:r>
    </w:p>
    <w:p w14:paraId="02A7D946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另外</w:t>
      </w:r>
    </w:p>
    <w:p w14:paraId="1AAF6B25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1处红框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可以给这个课程添加关注</w:t>
      </w:r>
    </w:p>
    <w:p w14:paraId="0CD8ACD8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2处红框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可以追踪这个课程的其他信息</w:t>
      </w:r>
    </w:p>
    <w:p w14:paraId="05D382B1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3处红框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可以查看这位教师其他时间段的课表</w:t>
      </w:r>
    </w:p>
    <w:p w14:paraId="5F1B14B5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4处红框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可以查看这位教师的这节课被听了多少次</w:t>
      </w:r>
    </w:p>
    <w:p w14:paraId="1F92BF3D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5处红框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可以看到问卷列表，听完课程在此处进行评价</w:t>
      </w:r>
    </w:p>
    <w:p w14:paraId="542AF5B0">
      <w:pPr>
        <w:spacing w:line="300" w:lineRule="auto"/>
        <w:ind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C50BDD6">
      <w:pPr>
        <w:spacing w:line="30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730500" cy="3184525"/>
            <wp:effectExtent l="0" t="0" r="0" b="3175"/>
            <wp:docPr id="14" name="图片 14" descr="图片11(1)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1(1)(1)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9A70D">
      <w:pPr>
        <w:pStyle w:val="19"/>
        <w:keepNext w:val="0"/>
        <w:keepLines w:val="0"/>
        <w:widowControl/>
        <w:suppressLineNumbers w:val="0"/>
        <w:ind w:firstLine="480" w:firstLineChars="200"/>
        <w:jc w:val="center"/>
      </w:pPr>
      <w:r>
        <w:rPr>
          <w:rFonts w:hint="eastAsia"/>
          <w:lang w:val="en-US" w:eastAsia="zh-CN"/>
        </w:rPr>
        <w:t xml:space="preserve">  </w:t>
      </w:r>
      <w:r>
        <w:t xml:space="preserve">听课结束时，请根据课程类型选择课程下方的评价表，填写听课记录表（评价表分理论课、实验课、体育课、思政课4类，不同类别指标不同）。 </w:t>
      </w:r>
    </w:p>
    <w:p w14:paraId="7CF5275D">
      <w:pPr>
        <w:pStyle w:val="19"/>
        <w:keepNext w:val="0"/>
        <w:keepLines w:val="0"/>
        <w:widowControl/>
        <w:suppressLineNumbers w:val="0"/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793365" cy="3881755"/>
            <wp:effectExtent l="0" t="0" r="2540" b="444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0277">
      <w:pPr>
        <w:pStyle w:val="19"/>
        <w:keepNext w:val="0"/>
        <w:keepLines w:val="0"/>
        <w:widowControl/>
        <w:suppressLineNumbers w:val="0"/>
        <w:jc w:val="center"/>
      </w:pPr>
      <w:r>
        <w:t>（此图仅展示使用，实际表格以系统实际显示为准）</w:t>
      </w:r>
    </w:p>
    <w:p w14:paraId="34B21610">
      <w:pPr>
        <w:pStyle w:val="19"/>
        <w:keepNext w:val="0"/>
        <w:keepLines w:val="0"/>
        <w:widowControl/>
        <w:suppressLineNumbers w:val="0"/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</w:p>
    <w:p w14:paraId="6C1FE8E4">
      <w:pPr>
        <w:spacing w:line="30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D93785B">
      <w:pPr>
        <w:pStyle w:val="19"/>
        <w:keepNext w:val="0"/>
        <w:keepLines w:val="0"/>
        <w:widowControl/>
        <w:suppressLineNumbers w:val="0"/>
        <w:ind w:firstLine="480" w:firstLineChars="200"/>
      </w:pPr>
      <w:r>
        <w:t>如需暂存填写的评价内容，则点击右上角的“保存”按钮，保存的问卷内容可以从首页的“已保存”中找到。</w:t>
      </w:r>
      <w:r>
        <w:rPr>
          <w:b/>
          <w:bCs/>
        </w:rPr>
        <w:t>如评价完毕，请点击底部的“提交”按钮，完成此次听课评价。</w:t>
      </w:r>
      <w:r>
        <w:t xml:space="preserve"> </w:t>
      </w:r>
    </w:p>
    <w:p w14:paraId="45F6E77B">
      <w:pPr>
        <w:spacing w:line="300" w:lineRule="auto"/>
        <w:jc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183130" cy="3235960"/>
            <wp:effectExtent l="0" t="0" r="8255" b="25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249170" cy="3225800"/>
            <wp:effectExtent l="0" t="0" r="6985" b="190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192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</w:pPr>
    </w:p>
    <w:p w14:paraId="51BCF39A">
      <w:pPr>
        <w:spacing w:line="30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如果需要对已经提交的问卷进行修改，可以自己提交撤回申请，由校级管理员审批后放可从待提交列表中进行修改后重新提交，撤回流程如下：</w:t>
      </w:r>
    </w:p>
    <w:p w14:paraId="09676FB0">
      <w:pPr>
        <w:numPr>
          <w:ilvl w:val="0"/>
          <w:numId w:val="2"/>
        </w:numPr>
        <w:spacing w:line="30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在同行听课→已听课中</w:t>
      </w:r>
    </w:p>
    <w:p w14:paraId="33AD72AE">
      <w:pPr>
        <w:numPr>
          <w:ilvl w:val="0"/>
          <w:numId w:val="0"/>
        </w:numPr>
        <w:spacing w:line="30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265045" cy="3194685"/>
            <wp:effectExtent l="0" t="0" r="8255" b="571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41DE">
      <w:pPr>
        <w:numPr>
          <w:ilvl w:val="0"/>
          <w:numId w:val="2"/>
        </w:numPr>
        <w:spacing w:line="30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点击撤回按钮→填写撤回理由→点击确定按钮</w:t>
      </w:r>
    </w:p>
    <w:p w14:paraId="1436F66A">
      <w:pPr>
        <w:spacing w:line="300" w:lineRule="auto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547620" cy="3562985"/>
            <wp:effectExtent l="0" t="0" r="0" b="1016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D348">
      <w:pPr>
        <w:spacing w:line="30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3A0ABFE">
      <w:pPr>
        <w:numPr>
          <w:ilvl w:val="0"/>
          <w:numId w:val="2"/>
        </w:numPr>
        <w:spacing w:line="30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管理员审批通过后会已通知的方式通知申请人</w:t>
      </w:r>
    </w:p>
    <w:p w14:paraId="0B93618D">
      <w:pPr>
        <w:spacing w:line="300" w:lineRule="auto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584450" cy="3622040"/>
            <wp:effectExtent l="0" t="0" r="6350" b="50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F928E">
      <w:pPr>
        <w:numPr>
          <w:ilvl w:val="0"/>
          <w:numId w:val="2"/>
        </w:numPr>
        <w:spacing w:line="30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这时就可以从同行听课→待提交中对该评价表进行修改后重新提交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（注意：每张问卷只能申请撤回1次，所以再次提交时请核查后再提交）</w:t>
      </w:r>
    </w:p>
    <w:p w14:paraId="1017C418">
      <w:pPr>
        <w:spacing w:line="300" w:lineRule="auto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561590" cy="3587750"/>
            <wp:effectExtent l="0" t="0" r="7620" b="698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73F1">
      <w:pPr>
        <w:spacing w:line="300" w:lineRule="auto"/>
        <w:jc w:val="both"/>
        <w:rPr>
          <w:rFonts w:hint="eastAsia" w:ascii="宋体" w:hAnsi="宋体" w:eastAsia="宋体" w:cs="宋体"/>
          <w:sz w:val="21"/>
          <w:szCs w:val="21"/>
        </w:rPr>
      </w:pPr>
    </w:p>
    <w:p w14:paraId="0A96DEA4">
      <w:pPr>
        <w:numPr>
          <w:ilvl w:val="0"/>
          <w:numId w:val="2"/>
        </w:numPr>
        <w:spacing w:line="30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如果不需要本次评价表的内容，就点击问卷上的垃圾桶按钮，删除评价表即可</w:t>
      </w:r>
    </w:p>
    <w:p w14:paraId="640ED4F8">
      <w:pPr>
        <w:spacing w:line="300" w:lineRule="auto"/>
        <w:jc w:val="center"/>
        <w:rPr>
          <w:rFonts w:hint="eastAsia" w:ascii="宋体" w:hAnsi="宋体" w:eastAsia="宋体" w:cs="宋体"/>
          <w:sz w:val="21"/>
          <w:szCs w:val="21"/>
        </w:rPr>
      </w:pPr>
    </w:p>
    <w:p w14:paraId="4F9B3AED">
      <w:pPr>
        <w:spacing w:line="30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875280" cy="3872230"/>
            <wp:effectExtent l="0" t="0" r="6985" b="317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B28A7">
      <w:pPr>
        <w:pStyle w:val="4"/>
        <w:bidi w:val="0"/>
        <w:rPr>
          <w:rFonts w:hint="default"/>
          <w:lang w:val="en-US"/>
        </w:rPr>
      </w:pPr>
      <w:bookmarkStart w:id="42" w:name="_Toc3105"/>
      <w:r>
        <w:rPr>
          <w:rFonts w:hint="eastAsia"/>
          <w:sz w:val="28"/>
          <w:szCs w:val="28"/>
          <w:lang w:val="en-US" w:eastAsia="zh-CN"/>
        </w:rPr>
        <w:t>4.2. 教师评学</w:t>
      </w:r>
      <w:bookmarkEnd w:id="42"/>
    </w:p>
    <w:p w14:paraId="2A5A80CD">
      <w:pPr>
        <w:jc w:val="left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进入教师评学页面，可看到新版教师评学在显示方面分为了两大模块。</w:t>
      </w:r>
    </w:p>
    <w:p w14:paraId="68EFE3EB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0" w:after="200" w:line="240" w:lineRule="auto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4.2.1. 问卷列表</w:t>
      </w:r>
    </w:p>
    <w:p w14:paraId="21498090">
      <w:pPr>
        <w:jc w:val="left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按问卷、按教学班归类，其问卷一样。如图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8</w:t>
      </w:r>
    </w:p>
    <w:p w14:paraId="3476D4BF">
      <w:pPr>
        <w:jc w:val="left"/>
      </w:pPr>
      <w:r>
        <w:drawing>
          <wp:inline distT="0" distB="0" distL="114300" distR="114300">
            <wp:extent cx="1624965" cy="2879725"/>
            <wp:effectExtent l="0" t="0" r="13335" b="15875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31315" cy="2879725"/>
            <wp:effectExtent l="0" t="0" r="6985" b="1587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3695" cy="2879725"/>
            <wp:effectExtent l="0" t="0" r="14605" b="15875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04F2">
      <w:pPr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8</w:t>
      </w:r>
    </w:p>
    <w:p w14:paraId="5FF633B9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0" w:after="200" w:line="24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4.2.2. 已评列表</w:t>
      </w:r>
    </w:p>
    <w:p w14:paraId="395A69F8">
      <w:pPr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填好问卷内容后点击保存，或者提交。提交后的问卷位于“已评教”列表中。如图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9</w:t>
      </w:r>
    </w:p>
    <w:p w14:paraId="17A1CE54">
      <w:pPr>
        <w:jc w:val="center"/>
      </w:pPr>
      <w:r>
        <w:drawing>
          <wp:inline distT="0" distB="0" distL="114300" distR="114300">
            <wp:extent cx="1631315" cy="2879725"/>
            <wp:effectExtent l="0" t="0" r="6985" b="15875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8775" cy="2879725"/>
            <wp:effectExtent l="0" t="0" r="9525" b="15875"/>
            <wp:docPr id="4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4805" cy="2879725"/>
            <wp:effectExtent l="0" t="0" r="4445" b="15875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88ECA">
      <w:pPr>
        <w:jc w:val="center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9</w:t>
      </w:r>
    </w:p>
    <w:p w14:paraId="1F0438A0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4.2.3. 查看排行榜</w:t>
      </w:r>
    </w:p>
    <w:p w14:paraId="2594059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可教师评学列表页面点击右下角的“排名”查看生成的教师评学数据排行榜包括自己的排名。排行榜页面的左上角的切换功能，可将排行榜切换成同院系或者全校范围来查看排名。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如图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10</w:t>
      </w:r>
    </w:p>
    <w:p w14:paraId="224E723C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640205" cy="2879725"/>
            <wp:effectExtent l="0" t="0" r="17145" b="15875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6075" cy="2879725"/>
            <wp:effectExtent l="0" t="0" r="3175" b="15875"/>
            <wp:docPr id="6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7430">
      <w:pPr>
        <w:jc w:val="center"/>
        <w:rPr>
          <w:rFonts w:hint="eastAsia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10</w:t>
      </w:r>
    </w:p>
    <w:p w14:paraId="2B42F978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textAlignment w:val="auto"/>
        <w:rPr>
          <w:lang w:val="en-US"/>
        </w:rPr>
      </w:pPr>
      <w:bookmarkStart w:id="43" w:name="_Toc29164"/>
      <w:bookmarkStart w:id="44" w:name="_Toc15567"/>
      <w:r>
        <w:rPr>
          <w:rFonts w:hint="eastAsia"/>
          <w:lang w:val="en-US" w:eastAsia="zh-CN"/>
        </w:rPr>
        <w:t>4.3</w:t>
      </w:r>
      <w:r>
        <w:rPr>
          <w:rFonts w:hint="eastAsia"/>
        </w:rPr>
        <w:t>．</w:t>
      </w:r>
      <w:r>
        <w:rPr>
          <w:rFonts w:hint="eastAsia"/>
          <w:lang w:val="en-US" w:eastAsia="zh-CN"/>
        </w:rPr>
        <w:t>评教大数据</w:t>
      </w:r>
      <w:bookmarkEnd w:id="43"/>
      <w:bookmarkEnd w:id="44"/>
    </w:p>
    <w:p w14:paraId="2D7EBCBE">
      <w:pPr>
        <w:jc w:val="center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53F82672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被评教的</w:t>
      </w:r>
      <w:r>
        <w:rPr>
          <w:rFonts w:hint="eastAsia"/>
          <w:lang w:eastAsia="zh-CN"/>
        </w:rPr>
        <w:t>教师</w:t>
      </w:r>
      <w:r>
        <w:rPr>
          <w:rFonts w:hint="eastAsia"/>
          <w:lang w:val="en-US" w:eastAsia="zh-CN"/>
        </w:rPr>
        <w:t>可通过评教大数据-教师模块查看个人的被评数据情况。可切换学期。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如图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11</w:t>
      </w:r>
    </w:p>
    <w:p w14:paraId="3EC09F8F">
      <w:pPr>
        <w:jc w:val="both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2326638C">
      <w:pPr>
        <w:jc w:val="center"/>
      </w:pPr>
      <w:r>
        <w:drawing>
          <wp:inline distT="0" distB="0" distL="114300" distR="114300">
            <wp:extent cx="1582420" cy="2879725"/>
            <wp:effectExtent l="0" t="0" r="17780" b="15875"/>
            <wp:docPr id="12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90040" cy="2879725"/>
            <wp:effectExtent l="0" t="0" r="10160" b="15875"/>
            <wp:docPr id="1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C8C5">
      <w:pPr>
        <w:jc w:val="center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11</w:t>
      </w:r>
    </w:p>
    <w:p w14:paraId="3BB8F96E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总览数据可分为7个模块：按问卷、按课程、按问卷课程等。点击进入各个模块页面可查看“按问卷”、“按课程”、“按问卷课程”等更多数据信息。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如图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12</w:t>
      </w:r>
    </w:p>
    <w:p w14:paraId="62147461">
      <w:pPr>
        <w:jc w:val="left"/>
      </w:pPr>
      <w:r>
        <w:drawing>
          <wp:inline distT="0" distB="0" distL="114300" distR="114300">
            <wp:extent cx="1640205" cy="2879725"/>
            <wp:effectExtent l="0" t="0" r="17145" b="15875"/>
            <wp:docPr id="10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30680" cy="2879725"/>
            <wp:effectExtent l="0" t="0" r="7620" b="15875"/>
            <wp:docPr id="10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4330" cy="2879725"/>
            <wp:effectExtent l="0" t="0" r="13970" b="15875"/>
            <wp:docPr id="10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E2ECA">
      <w:pPr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12</w:t>
      </w:r>
    </w:p>
    <w:p w14:paraId="4677DFC0">
      <w:pPr>
        <w:jc w:val="center"/>
      </w:pPr>
    </w:p>
    <w:p w14:paraId="28B87ADC"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按问卷、按课程问卷课程模块中可查看评教问卷的详细分析。教师还可以对一些主观填空题进行回复。如图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13。</w:t>
      </w:r>
    </w:p>
    <w:p w14:paraId="59B00DEE">
      <w:pPr>
        <w:spacing w:line="360" w:lineRule="auto"/>
        <w:jc w:val="center"/>
        <w:rPr>
          <w:rFonts w:ascii="微软雅黑" w:hAnsi="微软雅黑" w:eastAsia="微软雅黑"/>
          <w:b/>
          <w:sz w:val="24"/>
          <w:szCs w:val="24"/>
        </w:rPr>
      </w:pPr>
      <w:r>
        <w:drawing>
          <wp:inline distT="0" distB="0" distL="114300" distR="114300">
            <wp:extent cx="1630680" cy="2879725"/>
            <wp:effectExtent l="0" t="0" r="7620" b="15875"/>
            <wp:docPr id="10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0520" cy="2879725"/>
            <wp:effectExtent l="0" t="0" r="17780" b="15875"/>
            <wp:docPr id="11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63FD">
      <w:pPr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13</w:t>
      </w:r>
    </w:p>
    <w:p w14:paraId="4889D399">
      <w:pPr>
        <w:ind w:firstLine="420" w:firstLineChars="200"/>
        <w:jc w:val="left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教师可在问卷查看问卷统计明细中查看排行榜（可分类查看：同教研室、同院系、全校）。如图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14：</w:t>
      </w:r>
    </w:p>
    <w:p w14:paraId="778C979B">
      <w:pPr>
        <w:spacing w:line="360" w:lineRule="auto"/>
        <w:jc w:val="center"/>
      </w:pPr>
      <w:r>
        <w:drawing>
          <wp:inline distT="0" distB="0" distL="114300" distR="114300">
            <wp:extent cx="1607820" cy="2879725"/>
            <wp:effectExtent l="0" t="0" r="11430" b="15875"/>
            <wp:docPr id="11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0520" cy="2879725"/>
            <wp:effectExtent l="0" t="0" r="17780" b="15875"/>
            <wp:docPr id="12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1E98">
      <w:pPr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14</w:t>
      </w:r>
    </w:p>
    <w:p w14:paraId="1B4759D3">
      <w:pPr>
        <w:spacing w:line="360" w:lineRule="auto"/>
        <w:jc w:val="center"/>
      </w:pPr>
    </w:p>
    <w:p w14:paraId="63E3454A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textAlignment w:val="auto"/>
        <w:rPr>
          <w:lang w:val="en-US"/>
        </w:rPr>
      </w:pPr>
      <w:bookmarkStart w:id="45" w:name="_Toc25945"/>
      <w:r>
        <w:rPr>
          <w:rFonts w:hint="eastAsia"/>
          <w:lang w:val="en-US" w:eastAsia="zh-CN"/>
        </w:rPr>
        <w:t>4.4</w:t>
      </w:r>
      <w:r>
        <w:rPr>
          <w:rFonts w:hint="eastAsia"/>
        </w:rPr>
        <w:t>．</w:t>
      </w:r>
      <w:r>
        <w:rPr>
          <w:rFonts w:hint="eastAsia"/>
          <w:lang w:val="en-US" w:eastAsia="zh-CN"/>
        </w:rPr>
        <w:t>听课大数据</w:t>
      </w:r>
      <w:bookmarkEnd w:id="45"/>
    </w:p>
    <w:p w14:paraId="1C8CDD58">
      <w:pPr>
        <w:jc w:val="center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16F4391F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被听课的</w:t>
      </w:r>
      <w:r>
        <w:rPr>
          <w:rFonts w:hint="eastAsia"/>
          <w:lang w:eastAsia="zh-CN"/>
        </w:rPr>
        <w:t>教师</w:t>
      </w:r>
      <w:r>
        <w:rPr>
          <w:rFonts w:hint="eastAsia"/>
          <w:lang w:val="en-US" w:eastAsia="zh-CN"/>
        </w:rPr>
        <w:t>可通过听课大数据模块查看个人的被听课的主观建议。右上角可切换学期。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如图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15</w:t>
      </w:r>
    </w:p>
    <w:p w14:paraId="1AD4C4AB">
      <w:pPr>
        <w:jc w:val="both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60DF91EE">
      <w:pPr>
        <w:jc w:val="center"/>
      </w:pPr>
      <w:r>
        <w:drawing>
          <wp:inline distT="0" distB="0" distL="114300" distR="114300">
            <wp:extent cx="2487295" cy="3606800"/>
            <wp:effectExtent l="0" t="0" r="635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3082">
      <w:pPr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</w:rPr>
        <w:t>图</w:t>
      </w:r>
      <w:r>
        <w:rPr>
          <w:rFonts w:hint="eastAsia" w:asciiTheme="minorEastAsia" w:hAnsiTheme="minorEastAsia" w:eastAsiaTheme="minorEastAsia"/>
          <w:szCs w:val="21"/>
          <w:lang w:eastAsia="zh-CN"/>
        </w:rPr>
        <w:t>4-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15</w:t>
      </w:r>
    </w:p>
    <w:p w14:paraId="006FFED2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textAlignment w:val="auto"/>
        <w:rPr>
          <w:lang w:val="en-US"/>
        </w:rPr>
      </w:pPr>
      <w:bookmarkStart w:id="46" w:name="_Toc25833"/>
      <w:r>
        <w:rPr>
          <w:rFonts w:hint="eastAsia"/>
          <w:lang w:val="en-US" w:eastAsia="zh-CN"/>
        </w:rPr>
        <w:t>4.5</w:t>
      </w:r>
      <w:r>
        <w:rPr>
          <w:rFonts w:hint="eastAsia"/>
        </w:rPr>
        <w:t>．</w:t>
      </w:r>
      <w:r>
        <w:rPr>
          <w:rFonts w:hint="eastAsia"/>
          <w:lang w:val="en-US" w:eastAsia="zh-CN"/>
        </w:rPr>
        <w:t>课堂点名（教师）</w:t>
      </w:r>
      <w:bookmarkEnd w:id="46"/>
    </w:p>
    <w:p w14:paraId="50A1D119">
      <w:pPr>
        <w:spacing w:line="300" w:lineRule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5.1授课教师点击课堂点名（教师）模块</w:t>
      </w:r>
    </w:p>
    <w:p w14:paraId="5DDA197B">
      <w:pPr>
        <w:spacing w:line="300" w:lineRule="auto"/>
        <w:jc w:val="center"/>
      </w:pPr>
      <w:r>
        <w:drawing>
          <wp:inline distT="0" distB="0" distL="114300" distR="114300">
            <wp:extent cx="2578735" cy="2858135"/>
            <wp:effectExtent l="0" t="0" r="1270" b="2540"/>
            <wp:docPr id="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167A">
      <w:pPr>
        <w:spacing w:line="30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图5-1</w:t>
      </w:r>
    </w:p>
    <w:p w14:paraId="2D6382EB">
      <w:pPr>
        <w:spacing w:line="300" w:lineRule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5.2、页面会展示出今日的课程信息、班级信息、上课信息，选择需要点名的课程。</w:t>
      </w:r>
    </w:p>
    <w:p w14:paraId="56C8EED4">
      <w:pPr>
        <w:spacing w:line="300" w:lineRule="auto"/>
        <w:jc w:val="center"/>
      </w:pPr>
      <w:r>
        <w:drawing>
          <wp:inline distT="0" distB="0" distL="114300" distR="114300">
            <wp:extent cx="3400425" cy="3238500"/>
            <wp:effectExtent l="0" t="0" r="0" b="0"/>
            <wp:docPr id="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2C76">
      <w:pPr>
        <w:spacing w:line="30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图5-2</w:t>
      </w:r>
    </w:p>
    <w:p w14:paraId="7D572244">
      <w:pPr>
        <w:spacing w:line="300" w:lineRule="auto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5.3、点击下方的开始点名按钮。</w:t>
      </w:r>
    </w:p>
    <w:p w14:paraId="65D8A444">
      <w:pPr>
        <w:spacing w:line="300" w:lineRule="auto"/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drawing>
          <wp:inline distT="0" distB="0" distL="114300" distR="114300">
            <wp:extent cx="2277745" cy="3869690"/>
            <wp:effectExtent l="0" t="0" r="0" b="5715"/>
            <wp:docPr id="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11C1">
      <w:pPr>
        <w:spacing w:line="30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图5-3</w:t>
      </w:r>
    </w:p>
    <w:p w14:paraId="280A1D79">
      <w:pPr>
        <w:spacing w:line="300" w:lineRule="auto"/>
        <w:jc w:val="center"/>
        <w:rPr>
          <w:rFonts w:hint="eastAsia"/>
          <w:lang w:val="en-US" w:eastAsia="zh-CN"/>
        </w:rPr>
      </w:pPr>
    </w:p>
    <w:p w14:paraId="692BA642">
      <w:pPr>
        <w:spacing w:line="300" w:lineRule="auto"/>
        <w:jc w:val="center"/>
        <w:rPr>
          <w:rFonts w:hint="eastAsia"/>
          <w:lang w:val="en-US" w:eastAsia="zh-CN"/>
        </w:rPr>
      </w:pPr>
    </w:p>
    <w:p w14:paraId="5AF7CE48">
      <w:pPr>
        <w:spacing w:line="300" w:lineRule="auto"/>
        <w:jc w:val="center"/>
        <w:rPr>
          <w:rFonts w:hint="eastAsia"/>
          <w:lang w:val="en-US" w:eastAsia="zh-CN"/>
        </w:rPr>
      </w:pPr>
    </w:p>
    <w:p w14:paraId="2625651D">
      <w:pPr>
        <w:spacing w:line="300" w:lineRule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5.4、选择结束点名后未签到人员的标记状态，以及学生签到的方式（方式一为验证码，6位数字；方式二为手势锁，类似于手机解锁图示），一般采用一次签到方式的老师，结束点名未签到学生统一标记为旷课。选择完成会自动开始点名。</w:t>
      </w:r>
    </w:p>
    <w:p w14:paraId="729F1539">
      <w:pPr>
        <w:spacing w:line="300" w:lineRule="auto"/>
        <w:jc w:val="center"/>
      </w:pPr>
      <w:r>
        <w:drawing>
          <wp:inline distT="0" distB="0" distL="114300" distR="114300">
            <wp:extent cx="3072130" cy="4319905"/>
            <wp:effectExtent l="0" t="0" r="4445" b="8890"/>
            <wp:docPr id="8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BE52">
      <w:pPr>
        <w:spacing w:line="30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图5-4</w:t>
      </w:r>
    </w:p>
    <w:p w14:paraId="0D1A8538">
      <w:pPr>
        <w:spacing w:line="300" w:lineRule="auto"/>
        <w:jc w:val="center"/>
      </w:pPr>
    </w:p>
    <w:p w14:paraId="2D776777">
      <w:pPr>
        <w:spacing w:line="300" w:lineRule="auto"/>
        <w:jc w:val="center"/>
      </w:pPr>
    </w:p>
    <w:p w14:paraId="1EF4BC81">
      <w:pPr>
        <w:spacing w:line="300" w:lineRule="auto"/>
        <w:jc w:val="center"/>
      </w:pPr>
    </w:p>
    <w:p w14:paraId="3B406B02">
      <w:pPr>
        <w:spacing w:line="300" w:lineRule="auto"/>
        <w:jc w:val="center"/>
      </w:pPr>
    </w:p>
    <w:p w14:paraId="77EB3166">
      <w:pPr>
        <w:spacing w:line="300" w:lineRule="auto"/>
        <w:jc w:val="center"/>
      </w:pPr>
    </w:p>
    <w:p w14:paraId="0F0953B6">
      <w:pPr>
        <w:spacing w:line="300" w:lineRule="auto"/>
        <w:jc w:val="center"/>
      </w:pPr>
    </w:p>
    <w:p w14:paraId="2618DA6C">
      <w:pPr>
        <w:spacing w:line="300" w:lineRule="auto"/>
        <w:jc w:val="center"/>
      </w:pPr>
    </w:p>
    <w:p w14:paraId="0C96423E">
      <w:pPr>
        <w:spacing w:line="300" w:lineRule="auto"/>
        <w:jc w:val="center"/>
      </w:pPr>
    </w:p>
    <w:p w14:paraId="01456D53">
      <w:pPr>
        <w:spacing w:line="300" w:lineRule="auto"/>
        <w:jc w:val="center"/>
      </w:pPr>
    </w:p>
    <w:p w14:paraId="21BE52E0">
      <w:pPr>
        <w:spacing w:line="300" w:lineRule="auto"/>
        <w:jc w:val="center"/>
      </w:pPr>
    </w:p>
    <w:p w14:paraId="43BF0D83">
      <w:pPr>
        <w:spacing w:line="300" w:lineRule="auto"/>
        <w:jc w:val="center"/>
      </w:pPr>
    </w:p>
    <w:p w14:paraId="5DF05808">
      <w:pPr>
        <w:spacing w:line="300" w:lineRule="auto"/>
        <w:jc w:val="center"/>
      </w:pPr>
    </w:p>
    <w:p w14:paraId="27BC9E32">
      <w:pPr>
        <w:spacing w:line="300" w:lineRule="auto"/>
        <w:jc w:val="center"/>
      </w:pPr>
    </w:p>
    <w:p w14:paraId="3BDE4E7E">
      <w:pPr>
        <w:spacing w:line="300" w:lineRule="auto"/>
        <w:jc w:val="center"/>
      </w:pPr>
    </w:p>
    <w:p w14:paraId="73834D20">
      <w:pPr>
        <w:spacing w:line="300" w:lineRule="auto"/>
        <w:jc w:val="center"/>
        <w:rPr>
          <w:rFonts w:hint="default"/>
          <w:lang w:val="en-US" w:eastAsia="zh-CN"/>
        </w:rPr>
      </w:pPr>
    </w:p>
    <w:p w14:paraId="47940497">
      <w:pPr>
        <w:spacing w:line="300" w:lineRule="auto"/>
        <w:jc w:val="center"/>
        <w:rPr>
          <w:rFonts w:hint="default"/>
          <w:lang w:val="en-US" w:eastAsia="zh-CN"/>
        </w:rPr>
      </w:pPr>
    </w:p>
    <w:p w14:paraId="46FC5CDC">
      <w:pPr>
        <w:spacing w:line="300" w:lineRule="auto"/>
        <w:jc w:val="center"/>
        <w:rPr>
          <w:rFonts w:hint="default"/>
          <w:lang w:val="en-US" w:eastAsia="zh-CN"/>
        </w:rPr>
      </w:pPr>
    </w:p>
    <w:p w14:paraId="58D9CA04">
      <w:pPr>
        <w:spacing w:line="300" w:lineRule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5.5、这时候可以看到生成的验证码为073114，学生只要在相应的模块“课堂点名（学生）”输入这6位数字即可签到成功。点名时间默认为5分钟，教师可以在时间未结束之前，点击下方的结束点名按钮提前结束点名。</w:t>
      </w:r>
    </w:p>
    <w:p w14:paraId="503943DA">
      <w:pPr>
        <w:spacing w:line="300" w:lineRule="auto"/>
        <w:jc w:val="center"/>
      </w:pPr>
      <w:r>
        <w:drawing>
          <wp:inline distT="0" distB="0" distL="114300" distR="114300">
            <wp:extent cx="1874520" cy="3856990"/>
            <wp:effectExtent l="0" t="0" r="3810" b="7620"/>
            <wp:docPr id="8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3485">
      <w:pPr>
        <w:spacing w:line="30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图5-5</w:t>
      </w:r>
    </w:p>
    <w:p w14:paraId="5A2EEE3F">
      <w:pPr>
        <w:spacing w:line="300" w:lineRule="auto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5.6、结束点名后可以点击状态栏，查看所有学生的签到信息。</w:t>
      </w:r>
    </w:p>
    <w:p w14:paraId="5DC87C31">
      <w:pPr>
        <w:spacing w:line="300" w:lineRule="auto"/>
        <w:jc w:val="center"/>
      </w:pPr>
      <w:r>
        <w:drawing>
          <wp:inline distT="0" distB="0" distL="114300" distR="114300">
            <wp:extent cx="2458085" cy="2376805"/>
            <wp:effectExtent l="0" t="0" r="3175" b="8890"/>
            <wp:docPr id="9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AC899">
      <w:pPr>
        <w:spacing w:line="30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图5-6</w:t>
      </w:r>
    </w:p>
    <w:p w14:paraId="07BB9816">
      <w:pPr>
        <w:spacing w:line="300" w:lineRule="auto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5.7、教师可以选择一位学生，并修改他的签到状态。</w:t>
      </w:r>
    </w:p>
    <w:p w14:paraId="3BDFE340">
      <w:pPr>
        <w:spacing w:line="300" w:lineRule="auto"/>
        <w:jc w:val="center"/>
      </w:pPr>
      <w:r>
        <w:drawing>
          <wp:inline distT="0" distB="0" distL="114300" distR="114300">
            <wp:extent cx="2700655" cy="2615565"/>
            <wp:effectExtent l="0" t="0" r="8890" b="7620"/>
            <wp:docPr id="1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4B1A3">
      <w:pPr>
        <w:spacing w:line="300" w:lineRule="auto"/>
        <w:jc w:val="center"/>
      </w:pPr>
      <w:r>
        <w:rPr>
          <w:rFonts w:hint="eastAsia"/>
          <w:lang w:val="en-US" w:eastAsia="zh-CN"/>
        </w:rPr>
        <w:t>图5-7</w:t>
      </w:r>
    </w:p>
    <w:p w14:paraId="33CE055A">
      <w:pPr>
        <w:spacing w:line="300" w:lineRule="auto"/>
        <w:jc w:val="center"/>
      </w:pPr>
      <w:r>
        <w:drawing>
          <wp:inline distT="0" distB="0" distL="114300" distR="114300">
            <wp:extent cx="2639060" cy="2493645"/>
            <wp:effectExtent l="0" t="0" r="5715" b="0"/>
            <wp:docPr id="1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B134">
      <w:pPr>
        <w:spacing w:line="30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图5-8</w:t>
      </w:r>
    </w:p>
    <w:p w14:paraId="13B7C528">
      <w:pPr>
        <w:spacing w:line="300" w:lineRule="auto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5.8、点名结束，教师可以在课堂点名的主页面的右上角，查看点名大数据。</w:t>
      </w:r>
    </w:p>
    <w:p w14:paraId="563A18F3">
      <w:pPr>
        <w:spacing w:line="30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781935" cy="1873250"/>
            <wp:effectExtent l="0" t="0" r="3175" b="5080"/>
            <wp:docPr id="1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F6AB">
      <w:pPr>
        <w:spacing w:line="30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图5-9</w:t>
      </w:r>
    </w:p>
    <w:p w14:paraId="7F6B1BE8">
      <w:pPr>
        <w:spacing w:line="300" w:lineRule="auto"/>
        <w:jc w:val="center"/>
        <w:rPr>
          <w:rFonts w:hint="eastAsia"/>
          <w:lang w:val="en-US" w:eastAsia="zh-CN"/>
        </w:rPr>
      </w:pPr>
    </w:p>
    <w:p w14:paraId="66E2EA3E">
      <w:pPr>
        <w:spacing w:line="300" w:lineRule="auto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5.9、可以按课程、按教学班、按学生不同维度查看点名情况。</w:t>
      </w:r>
    </w:p>
    <w:p w14:paraId="6F8DD29D">
      <w:pPr>
        <w:spacing w:line="300" w:lineRule="auto"/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drawing>
          <wp:inline distT="0" distB="0" distL="114300" distR="114300">
            <wp:extent cx="3781425" cy="3038475"/>
            <wp:effectExtent l="0" t="0" r="7620" b="5715"/>
            <wp:docPr id="1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1D75">
      <w:pPr>
        <w:spacing w:line="30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图5-10</w:t>
      </w:r>
    </w:p>
    <w:p w14:paraId="153ACF52">
      <w:pPr>
        <w:spacing w:line="300" w:lineRule="auto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5.10、结果支持excel导出。</w:t>
      </w:r>
    </w:p>
    <w:p w14:paraId="6F18AF0A">
      <w:pPr>
        <w:spacing w:line="300" w:lineRule="auto"/>
        <w:jc w:val="center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drawing>
          <wp:inline distT="0" distB="0" distL="114300" distR="114300">
            <wp:extent cx="2990850" cy="4190365"/>
            <wp:effectExtent l="0" t="0" r="10160" b="8890"/>
            <wp:docPr id="1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0ECF">
      <w:pPr>
        <w:spacing w:line="30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图5-11</w:t>
      </w:r>
    </w:p>
    <w:p w14:paraId="06E01420">
      <w:pPr>
        <w:jc w:val="both"/>
        <w:rPr>
          <w:rFonts w:hint="eastAsia" w:asciiTheme="minorEastAsia" w:hAnsiTheme="minorEastAsia" w:eastAsiaTheme="minorEastAsia"/>
          <w:szCs w:val="21"/>
          <w:lang w:val="en-US" w:eastAsia="zh-CN"/>
        </w:rPr>
      </w:pPr>
    </w:p>
    <w:p w14:paraId="1375B71C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textAlignment w:val="auto"/>
        <w:rPr>
          <w:rFonts w:hint="eastAsia"/>
          <w:lang w:val="en-US" w:eastAsia="zh-CN"/>
        </w:rPr>
      </w:pPr>
      <w:bookmarkStart w:id="47" w:name="_Toc16347"/>
      <w:r>
        <w:rPr>
          <w:rFonts w:hint="eastAsia"/>
          <w:lang w:val="en-US" w:eastAsia="zh-CN"/>
        </w:rPr>
        <w:t>4.6. 调研问卷</w:t>
      </w:r>
      <w:bookmarkEnd w:id="47"/>
    </w:p>
    <w:p w14:paraId="34E6BE5F">
      <w:pPr>
        <w:spacing w:line="300" w:lineRule="auto"/>
        <w:ind w:firstLine="420" w:firstLineChars="2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由学校管理员发起调研问卷，方便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老师</w:t>
      </w:r>
      <w:r>
        <w:rPr>
          <w:rFonts w:hint="eastAsia" w:asciiTheme="minorEastAsia" w:hAnsiTheme="minorEastAsia" w:eastAsiaTheme="minorEastAsia"/>
          <w:szCs w:val="21"/>
        </w:rPr>
        <w:t xml:space="preserve">通过手机端随时完成调研问卷。 </w:t>
      </w:r>
    </w:p>
    <w:p w14:paraId="0524AA21">
      <w:pPr>
        <w:spacing w:line="300" w:lineRule="auto"/>
        <w:ind w:firstLine="420" w:firstLineChars="200"/>
        <w:rPr>
          <w:rFonts w:hint="default" w:asciiTheme="minorEastAsia" w:hAnsiTheme="minorEastAsia" w:eastAsiaTheme="minorEastAsia"/>
          <w:szCs w:val="21"/>
          <w:lang w:val="en-US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老师</w:t>
      </w:r>
      <w:r>
        <w:rPr>
          <w:rFonts w:hint="eastAsia" w:asciiTheme="minorEastAsia" w:hAnsiTheme="minorEastAsia" w:eastAsiaTheme="minorEastAsia"/>
          <w:szCs w:val="21"/>
        </w:rPr>
        <w:t>通过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首页</w:t>
      </w:r>
      <w:r>
        <w:rPr>
          <w:rFonts w:hint="eastAsia" w:asciiTheme="minorEastAsia" w:hAnsiTheme="minorEastAsia" w:eastAsiaTheme="minorEastAsia"/>
          <w:szCs w:val="21"/>
        </w:rPr>
        <w:t>-调研问卷，进行问卷调研。待调研列表页面展示的全部待调研问卷，包括：调研标题，调研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发布者</w:t>
      </w:r>
      <w:r>
        <w:rPr>
          <w:rFonts w:hint="eastAsia" w:asciiTheme="minorEastAsia" w:hAnsiTheme="minorEastAsia" w:eastAsiaTheme="minorEastAsia"/>
          <w:szCs w:val="21"/>
        </w:rPr>
        <w:t>。选择某一调研待调研的问卷，录入调研结果，并提交完成调研。图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6</w:t>
      </w:r>
      <w:r>
        <w:rPr>
          <w:rFonts w:hint="eastAsia" w:asciiTheme="minorEastAsia" w:hAnsiTheme="minorEastAsia" w:eastAsiaTheme="minorEastAsia"/>
          <w:szCs w:val="21"/>
          <w:lang w:eastAsia="zh-CN"/>
        </w:rPr>
        <w:t>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9</w:t>
      </w:r>
    </w:p>
    <w:p w14:paraId="1734BF23">
      <w:pPr>
        <w:jc w:val="center"/>
        <w:rPr>
          <w:rFonts w:ascii="Times New Roman" w:hAnsi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drawing>
          <wp:inline distT="0" distB="0" distL="114300" distR="114300">
            <wp:extent cx="2366010" cy="2967990"/>
            <wp:effectExtent l="0" t="0" r="889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42185" cy="2971165"/>
            <wp:effectExtent l="0" t="0" r="3175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Times New Roman" w:hAnsi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hint="eastAsia" w:ascii="Times New Roman" w:hAnsi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shd w:val="pct10" w:color="auto" w:fill="FFFFFF"/>
          <w:lang w:val="zh-CN" w:bidi="zh-CN"/>
        </w:rPr>
        <w:t xml:space="preserve">  </w:t>
      </w:r>
      <w:r>
        <w:rPr>
          <w:rFonts w:hint="eastAsia" w:ascii="Times New Roman" w:hAnsi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lang w:val="zh-CN" w:bidi="zh-CN"/>
        </w:rPr>
        <w:t xml:space="preserve">                    </w:t>
      </w:r>
      <w:r>
        <w:rPr>
          <w:rFonts w:hint="eastAsia" w:ascii="Times New Roman" w:hAnsi="Times New Roman" w:eastAsiaTheme="minorEastAsia"/>
          <w:snapToGrid w:val="0"/>
          <w:color w:val="000000"/>
          <w:w w:val="0"/>
          <w:kern w:val="0"/>
          <w:sz w:val="0"/>
          <w:szCs w:val="0"/>
          <w:u w:color="000000"/>
          <w:lang w:val="en-US" w:bidi="zh-CN"/>
        </w:rPr>
        <w:t xml:space="preserve">                     </w:t>
      </w:r>
    </w:p>
    <w:p w14:paraId="57A20D6D">
      <w:pPr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-</w:t>
      </w:r>
      <w:r>
        <w:rPr>
          <w:rFonts w:hint="eastAsia"/>
          <w:lang w:val="en-US" w:eastAsia="zh-CN"/>
        </w:rPr>
        <w:t>9</w:t>
      </w:r>
    </w:p>
    <w:p w14:paraId="1D1256BE">
      <w:pPr>
        <w:spacing w:line="300" w:lineRule="auto"/>
        <w:ind w:firstLine="420" w:firstLineChars="200"/>
        <w:rPr>
          <w:rFonts w:hint="default" w:asciiTheme="minorEastAsia" w:hAnsiTheme="minorEastAsia" w:eastAsiaTheme="minorEastAsia"/>
          <w:szCs w:val="21"/>
          <w:lang w:val="en-US"/>
        </w:rPr>
      </w:pPr>
      <w:r>
        <w:rPr>
          <w:rFonts w:hint="eastAsia" w:asciiTheme="minorEastAsia" w:hAnsiTheme="minorEastAsia" w:eastAsiaTheme="minorEastAsia"/>
          <w:szCs w:val="21"/>
        </w:rPr>
        <w:t>系统在生成调研问卷通知任务后，系统及时向学生推送调研问卷通知，学生打开通知，点击“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确认阅读</w:t>
      </w:r>
      <w:r>
        <w:rPr>
          <w:rFonts w:hint="eastAsia" w:asciiTheme="minorEastAsia" w:hAnsiTheme="minorEastAsia" w:eastAsiaTheme="minorEastAsia"/>
          <w:szCs w:val="21"/>
        </w:rPr>
        <w:t>”，快速进入调研页面。如图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6</w:t>
      </w:r>
      <w:r>
        <w:rPr>
          <w:rFonts w:hint="eastAsia" w:asciiTheme="minorEastAsia" w:hAnsiTheme="minorEastAsia" w:eastAsiaTheme="minorEastAsia"/>
          <w:szCs w:val="21"/>
          <w:lang w:eastAsia="zh-CN"/>
        </w:rPr>
        <w:t>-</w:t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t>10</w:t>
      </w:r>
    </w:p>
    <w:p w14:paraId="247F9AA0">
      <w:pPr>
        <w:jc w:val="center"/>
      </w:pPr>
      <w:r>
        <w:drawing>
          <wp:inline distT="0" distB="0" distL="114300" distR="114300">
            <wp:extent cx="2339975" cy="3108325"/>
            <wp:effectExtent l="0" t="0" r="2540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2412365" cy="3027045"/>
            <wp:effectExtent l="0" t="0" r="5715" b="63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14:paraId="7AAA61EA">
      <w:pPr>
        <w:jc w:val="center"/>
        <w:rPr>
          <w:rFonts w:hint="eastAsia" w:ascii="宋体" w:hAnsi="宋体"/>
          <w:szCs w:val="24"/>
          <w:lang w:val="en-US" w:eastAsia="zh-CN"/>
        </w:rPr>
      </w:pPr>
      <w:r>
        <w:rPr>
          <w:rFonts w:hint="eastAsia" w:ascii="宋体" w:hAnsi="宋体"/>
          <w:szCs w:val="24"/>
        </w:rPr>
        <w:t>图</w:t>
      </w:r>
      <w:r>
        <w:rPr>
          <w:rFonts w:hint="eastAsia" w:ascii="宋体" w:hAnsi="宋体"/>
          <w:szCs w:val="24"/>
          <w:lang w:val="en-US" w:eastAsia="zh-CN"/>
        </w:rPr>
        <w:t>6</w:t>
      </w:r>
      <w:r>
        <w:rPr>
          <w:rFonts w:hint="eastAsia" w:ascii="宋体" w:hAnsi="宋体"/>
          <w:szCs w:val="24"/>
          <w:lang w:eastAsia="zh-CN"/>
        </w:rPr>
        <w:t>-</w:t>
      </w:r>
      <w:r>
        <w:rPr>
          <w:rFonts w:hint="eastAsia" w:ascii="宋体" w:hAnsi="宋体"/>
          <w:szCs w:val="24"/>
          <w:lang w:val="en-US" w:eastAsia="zh-CN"/>
        </w:rPr>
        <w:t>10</w:t>
      </w:r>
    </w:p>
    <w:p w14:paraId="148AC805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240" w:lineRule="auto"/>
        <w:textAlignment w:val="auto"/>
        <w:rPr>
          <w:rFonts w:hint="default"/>
          <w:lang w:val="en-US" w:eastAsia="zh-CN"/>
        </w:rPr>
      </w:pPr>
      <w:bookmarkStart w:id="48" w:name="_Toc4754"/>
      <w:r>
        <w:rPr>
          <w:rFonts w:hint="eastAsia"/>
          <w:lang w:val="en-US" w:eastAsia="zh-CN"/>
        </w:rPr>
        <w:t>4.7. 教学附件上传</w:t>
      </w:r>
      <w:bookmarkEnd w:id="48"/>
    </w:p>
    <w:p w14:paraId="713C4BE3">
      <w:pPr>
        <w:spacing w:line="300" w:lineRule="auto"/>
        <w:ind w:firstLine="420" w:firstLineChars="200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在底部找到“学习交流”模块</w:t>
      </w:r>
      <w:r>
        <w:rPr>
          <w:rFonts w:hint="eastAsia" w:asciiTheme="minorEastAsia" w:hAnsiTheme="minorEastAsia" w:eastAsiaTheme="minorEastAsia"/>
          <w:szCs w:val="21"/>
        </w:rPr>
        <w:t>；</w:t>
      </w:r>
    </w:p>
    <w:p w14:paraId="5214A890">
      <w:pPr>
        <w:jc w:val="center"/>
        <w:rPr>
          <w:rFonts w:hint="eastAsia"/>
        </w:rPr>
      </w:pPr>
      <w:r>
        <w:drawing>
          <wp:inline distT="0" distB="0" distL="114300" distR="114300">
            <wp:extent cx="2838450" cy="3716655"/>
            <wp:effectExtent l="0" t="0" r="635" b="762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</w:p>
    <w:p w14:paraId="2606E0ED">
      <w:pPr>
        <w:spacing w:line="300" w:lineRule="auto"/>
        <w:ind w:firstLine="420" w:firstLineChars="200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选择需要相应的课程以及对应的教学班，点击进入</w:t>
      </w:r>
    </w:p>
    <w:p w14:paraId="437508C6">
      <w:pPr>
        <w:spacing w:line="300" w:lineRule="auto"/>
        <w:jc w:val="center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608580" cy="3679825"/>
            <wp:effectExtent l="0" t="0" r="3810" b="127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4B46">
      <w:pPr>
        <w:spacing w:line="300" w:lineRule="auto"/>
        <w:ind w:firstLine="420"/>
        <w:jc w:val="center"/>
        <w:rPr>
          <w:rFonts w:hint="eastAsia"/>
          <w:lang w:val="en-US" w:eastAsia="zh-CN"/>
        </w:rPr>
      </w:pPr>
    </w:p>
    <w:p w14:paraId="5211E3F1">
      <w:pPr>
        <w:spacing w:line="30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点击如图中的编辑按钮，进入编辑页面，选择对应的教学进度表的问卷，并可以填写相应的教学内容，填写完成点击提交即可。</w:t>
      </w:r>
    </w:p>
    <w:p w14:paraId="3CFC5370">
      <w:pPr>
        <w:spacing w:line="300" w:lineRule="auto"/>
        <w:jc w:val="center"/>
      </w:pPr>
      <w:r>
        <w:drawing>
          <wp:inline distT="0" distB="0" distL="114300" distR="114300">
            <wp:extent cx="2538095" cy="4068445"/>
            <wp:effectExtent l="0" t="0" r="9525" b="127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9C09C">
      <w:pPr>
        <w:spacing w:line="300" w:lineRule="auto"/>
        <w:ind w:firstLine="420" w:firstLineChars="200"/>
        <w:rPr>
          <w:rFonts w:hint="default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带多个教学班的老师需要给每个教学班录入教学进度表和教学内容，例如：下图老师带4个教学班，所以需要给这4个教学班都录入。</w:t>
      </w:r>
    </w:p>
    <w:p w14:paraId="7262E498">
      <w:pPr>
        <w:spacing w:line="30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677160" cy="3554095"/>
            <wp:effectExtent l="0" t="0" r="0" b="8255"/>
            <wp:docPr id="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D130">
      <w:pPr>
        <w:spacing w:line="300" w:lineRule="auto"/>
        <w:ind w:firstLine="420" w:firstLineChars="200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  <w:lang w:val="en-US" w:eastAsia="zh-CN"/>
        </w:rPr>
        <w:t>编辑完成后，听课教师在听课的时候，就可以看到新增的教学进度表和教学内容，教学进度表需要下载后查看（微信企业号限制，需要跳转浏览器下载）</w:t>
      </w:r>
    </w:p>
    <w:p w14:paraId="129BE7C0">
      <w:pPr>
        <w:spacing w:line="300" w:lineRule="auto"/>
        <w:jc w:val="center"/>
      </w:pPr>
      <w:r>
        <w:drawing>
          <wp:inline distT="0" distB="0" distL="114300" distR="114300">
            <wp:extent cx="2886075" cy="3880485"/>
            <wp:effectExtent l="0" t="0" r="6985" b="5715"/>
            <wp:docPr id="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7C29">
      <w:pPr>
        <w:jc w:val="both"/>
        <w:rPr>
          <w:rFonts w:hint="eastAsia" w:ascii="宋体" w:hAnsi="宋体"/>
          <w:szCs w:val="24"/>
          <w:lang w:val="en-US" w:eastAsia="zh-CN"/>
        </w:rPr>
      </w:pPr>
    </w:p>
    <w:sectPr>
      <w:pgSz w:w="11906" w:h="16838"/>
      <w:pgMar w:top="1440" w:right="1800" w:bottom="1440" w:left="1800" w:header="283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E34CF6">
    <w:pPr>
      <w:pStyle w:val="1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EBC257"/>
    <w:multiLevelType w:val="singleLevel"/>
    <w:tmpl w:val="2BEBC25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0412CEF"/>
    <w:multiLevelType w:val="multilevel"/>
    <w:tmpl w:val="70412CEF"/>
    <w:lvl w:ilvl="0" w:tentative="0">
      <w:start w:val="1"/>
      <w:numFmt w:val="japaneseCounting"/>
      <w:lvlText w:val="第%1章"/>
      <w:lvlJc w:val="left"/>
      <w:pPr>
        <w:ind w:left="2990" w:hanging="1005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2825" w:hanging="420"/>
      </w:pPr>
    </w:lvl>
    <w:lvl w:ilvl="2" w:tentative="0">
      <w:start w:val="1"/>
      <w:numFmt w:val="lowerRoman"/>
      <w:lvlText w:val="%3."/>
      <w:lvlJc w:val="right"/>
      <w:pPr>
        <w:ind w:left="3245" w:hanging="420"/>
      </w:pPr>
    </w:lvl>
    <w:lvl w:ilvl="3" w:tentative="0">
      <w:start w:val="1"/>
      <w:numFmt w:val="decimal"/>
      <w:lvlText w:val="%4."/>
      <w:lvlJc w:val="left"/>
      <w:pPr>
        <w:ind w:left="3665" w:hanging="420"/>
      </w:pPr>
    </w:lvl>
    <w:lvl w:ilvl="4" w:tentative="0">
      <w:start w:val="1"/>
      <w:numFmt w:val="lowerLetter"/>
      <w:lvlText w:val="%5)"/>
      <w:lvlJc w:val="left"/>
      <w:pPr>
        <w:ind w:left="4085" w:hanging="420"/>
      </w:pPr>
    </w:lvl>
    <w:lvl w:ilvl="5" w:tentative="0">
      <w:start w:val="1"/>
      <w:numFmt w:val="lowerRoman"/>
      <w:lvlText w:val="%6."/>
      <w:lvlJc w:val="right"/>
      <w:pPr>
        <w:ind w:left="4505" w:hanging="420"/>
      </w:pPr>
    </w:lvl>
    <w:lvl w:ilvl="6" w:tentative="0">
      <w:start w:val="1"/>
      <w:numFmt w:val="decimal"/>
      <w:lvlText w:val="%7."/>
      <w:lvlJc w:val="left"/>
      <w:pPr>
        <w:ind w:left="4925" w:hanging="420"/>
      </w:pPr>
    </w:lvl>
    <w:lvl w:ilvl="7" w:tentative="0">
      <w:start w:val="1"/>
      <w:numFmt w:val="lowerLetter"/>
      <w:lvlText w:val="%8)"/>
      <w:lvlJc w:val="left"/>
      <w:pPr>
        <w:ind w:left="5345" w:hanging="420"/>
      </w:pPr>
    </w:lvl>
    <w:lvl w:ilvl="8" w:tentative="0">
      <w:start w:val="1"/>
      <w:numFmt w:val="lowerRoman"/>
      <w:lvlText w:val="%9."/>
      <w:lvlJc w:val="right"/>
      <w:pPr>
        <w:ind w:left="576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1NjUzODI1MGRkOTBjY2Q5NTkwNTU3YmZlMWVjOTMifQ=="/>
  </w:docVars>
  <w:rsids>
    <w:rsidRoot w:val="001E2A2E"/>
    <w:rsid w:val="0000758C"/>
    <w:rsid w:val="0001186E"/>
    <w:rsid w:val="00032753"/>
    <w:rsid w:val="00052B0F"/>
    <w:rsid w:val="00053C9E"/>
    <w:rsid w:val="0006785E"/>
    <w:rsid w:val="00075DC5"/>
    <w:rsid w:val="00084181"/>
    <w:rsid w:val="000A79EF"/>
    <w:rsid w:val="000B2CBE"/>
    <w:rsid w:val="000C0DAB"/>
    <w:rsid w:val="000C2B57"/>
    <w:rsid w:val="000D045B"/>
    <w:rsid w:val="000F0C3C"/>
    <w:rsid w:val="000F3860"/>
    <w:rsid w:val="00100873"/>
    <w:rsid w:val="001014DE"/>
    <w:rsid w:val="00110B18"/>
    <w:rsid w:val="0012373D"/>
    <w:rsid w:val="001245CE"/>
    <w:rsid w:val="0013689E"/>
    <w:rsid w:val="00140806"/>
    <w:rsid w:val="0014624B"/>
    <w:rsid w:val="00156B1F"/>
    <w:rsid w:val="00161A5F"/>
    <w:rsid w:val="0017073C"/>
    <w:rsid w:val="0018082F"/>
    <w:rsid w:val="001973EF"/>
    <w:rsid w:val="001A278D"/>
    <w:rsid w:val="001C11B5"/>
    <w:rsid w:val="001D3981"/>
    <w:rsid w:val="001D7C5D"/>
    <w:rsid w:val="001E2A2E"/>
    <w:rsid w:val="001F450F"/>
    <w:rsid w:val="002039E7"/>
    <w:rsid w:val="00213D45"/>
    <w:rsid w:val="00217133"/>
    <w:rsid w:val="00220704"/>
    <w:rsid w:val="00220B67"/>
    <w:rsid w:val="00232B55"/>
    <w:rsid w:val="00237427"/>
    <w:rsid w:val="00237E9E"/>
    <w:rsid w:val="002604A8"/>
    <w:rsid w:val="00282C7D"/>
    <w:rsid w:val="00283742"/>
    <w:rsid w:val="002B2D27"/>
    <w:rsid w:val="002C2F8C"/>
    <w:rsid w:val="002C4FF8"/>
    <w:rsid w:val="002C7CFA"/>
    <w:rsid w:val="002E3B2B"/>
    <w:rsid w:val="00300A6B"/>
    <w:rsid w:val="00321713"/>
    <w:rsid w:val="00321E80"/>
    <w:rsid w:val="00322F47"/>
    <w:rsid w:val="0033282C"/>
    <w:rsid w:val="0033474C"/>
    <w:rsid w:val="003378F7"/>
    <w:rsid w:val="00356B36"/>
    <w:rsid w:val="0036006E"/>
    <w:rsid w:val="0036269C"/>
    <w:rsid w:val="00364C65"/>
    <w:rsid w:val="00370381"/>
    <w:rsid w:val="00370890"/>
    <w:rsid w:val="003747D2"/>
    <w:rsid w:val="00384F03"/>
    <w:rsid w:val="003932D7"/>
    <w:rsid w:val="00395238"/>
    <w:rsid w:val="003A100D"/>
    <w:rsid w:val="003A55CC"/>
    <w:rsid w:val="003B4B2C"/>
    <w:rsid w:val="003D0063"/>
    <w:rsid w:val="003F0461"/>
    <w:rsid w:val="0041612E"/>
    <w:rsid w:val="00460531"/>
    <w:rsid w:val="00485048"/>
    <w:rsid w:val="0048579C"/>
    <w:rsid w:val="00495DE3"/>
    <w:rsid w:val="00497A20"/>
    <w:rsid w:val="004A4C10"/>
    <w:rsid w:val="004A5281"/>
    <w:rsid w:val="004B4AEC"/>
    <w:rsid w:val="004D4365"/>
    <w:rsid w:val="00502D1E"/>
    <w:rsid w:val="00511BBC"/>
    <w:rsid w:val="005677A8"/>
    <w:rsid w:val="005764DA"/>
    <w:rsid w:val="005910EB"/>
    <w:rsid w:val="00594272"/>
    <w:rsid w:val="0059496B"/>
    <w:rsid w:val="00595054"/>
    <w:rsid w:val="005B4859"/>
    <w:rsid w:val="005C4D40"/>
    <w:rsid w:val="005D1F35"/>
    <w:rsid w:val="005F79BC"/>
    <w:rsid w:val="00604AD0"/>
    <w:rsid w:val="0060641D"/>
    <w:rsid w:val="00612E36"/>
    <w:rsid w:val="00616202"/>
    <w:rsid w:val="00616D03"/>
    <w:rsid w:val="006240BC"/>
    <w:rsid w:val="0063221B"/>
    <w:rsid w:val="00677EA4"/>
    <w:rsid w:val="00683684"/>
    <w:rsid w:val="00685209"/>
    <w:rsid w:val="00686936"/>
    <w:rsid w:val="006906BD"/>
    <w:rsid w:val="00694B31"/>
    <w:rsid w:val="006A31CD"/>
    <w:rsid w:val="006C055E"/>
    <w:rsid w:val="006C3998"/>
    <w:rsid w:val="006C5E0C"/>
    <w:rsid w:val="006D0782"/>
    <w:rsid w:val="006D5D4A"/>
    <w:rsid w:val="0071000B"/>
    <w:rsid w:val="00720ED9"/>
    <w:rsid w:val="007373AE"/>
    <w:rsid w:val="00737893"/>
    <w:rsid w:val="00742F4A"/>
    <w:rsid w:val="00752F8A"/>
    <w:rsid w:val="007611CF"/>
    <w:rsid w:val="00767118"/>
    <w:rsid w:val="0078301B"/>
    <w:rsid w:val="0078684F"/>
    <w:rsid w:val="007910EA"/>
    <w:rsid w:val="00794512"/>
    <w:rsid w:val="007B736E"/>
    <w:rsid w:val="007D1862"/>
    <w:rsid w:val="007E2CC1"/>
    <w:rsid w:val="00820609"/>
    <w:rsid w:val="0082548A"/>
    <w:rsid w:val="00841CE7"/>
    <w:rsid w:val="00851B41"/>
    <w:rsid w:val="00851FBB"/>
    <w:rsid w:val="008567A7"/>
    <w:rsid w:val="008672A0"/>
    <w:rsid w:val="008729D8"/>
    <w:rsid w:val="008754FA"/>
    <w:rsid w:val="0089390B"/>
    <w:rsid w:val="008C4C51"/>
    <w:rsid w:val="008C5A97"/>
    <w:rsid w:val="008C7C8E"/>
    <w:rsid w:val="008D6CDE"/>
    <w:rsid w:val="008F0FDD"/>
    <w:rsid w:val="008F4FFB"/>
    <w:rsid w:val="00921ABD"/>
    <w:rsid w:val="00922430"/>
    <w:rsid w:val="00922DAB"/>
    <w:rsid w:val="009270B3"/>
    <w:rsid w:val="00942DB2"/>
    <w:rsid w:val="00967DB0"/>
    <w:rsid w:val="009733AB"/>
    <w:rsid w:val="009736E9"/>
    <w:rsid w:val="00973A76"/>
    <w:rsid w:val="00976A05"/>
    <w:rsid w:val="009855A3"/>
    <w:rsid w:val="009871AC"/>
    <w:rsid w:val="009A40EF"/>
    <w:rsid w:val="009A4476"/>
    <w:rsid w:val="009A6E48"/>
    <w:rsid w:val="009B1FC3"/>
    <w:rsid w:val="009D3182"/>
    <w:rsid w:val="009D4CD5"/>
    <w:rsid w:val="009D5F6C"/>
    <w:rsid w:val="009E3F2D"/>
    <w:rsid w:val="009E4375"/>
    <w:rsid w:val="009E44DD"/>
    <w:rsid w:val="00A01173"/>
    <w:rsid w:val="00A261AA"/>
    <w:rsid w:val="00A26737"/>
    <w:rsid w:val="00A4760C"/>
    <w:rsid w:val="00A5330C"/>
    <w:rsid w:val="00A53C19"/>
    <w:rsid w:val="00A63C34"/>
    <w:rsid w:val="00A81019"/>
    <w:rsid w:val="00A87F67"/>
    <w:rsid w:val="00A96109"/>
    <w:rsid w:val="00AB1999"/>
    <w:rsid w:val="00AC5624"/>
    <w:rsid w:val="00AC6BB7"/>
    <w:rsid w:val="00AC6FF4"/>
    <w:rsid w:val="00AD1E48"/>
    <w:rsid w:val="00AD2D22"/>
    <w:rsid w:val="00AE04E2"/>
    <w:rsid w:val="00AE48AC"/>
    <w:rsid w:val="00B03732"/>
    <w:rsid w:val="00B03C02"/>
    <w:rsid w:val="00B05EE0"/>
    <w:rsid w:val="00B06034"/>
    <w:rsid w:val="00B0617B"/>
    <w:rsid w:val="00B11DFF"/>
    <w:rsid w:val="00B26822"/>
    <w:rsid w:val="00B32C68"/>
    <w:rsid w:val="00B35CDF"/>
    <w:rsid w:val="00B43169"/>
    <w:rsid w:val="00B53EA0"/>
    <w:rsid w:val="00B728BD"/>
    <w:rsid w:val="00BA709A"/>
    <w:rsid w:val="00BB09A0"/>
    <w:rsid w:val="00BC26BC"/>
    <w:rsid w:val="00BC7166"/>
    <w:rsid w:val="00BC7412"/>
    <w:rsid w:val="00BD374C"/>
    <w:rsid w:val="00BE2BA1"/>
    <w:rsid w:val="00BE5DFF"/>
    <w:rsid w:val="00BE7B78"/>
    <w:rsid w:val="00BF17AA"/>
    <w:rsid w:val="00C02707"/>
    <w:rsid w:val="00C05B70"/>
    <w:rsid w:val="00C169EF"/>
    <w:rsid w:val="00C21548"/>
    <w:rsid w:val="00C23C30"/>
    <w:rsid w:val="00C25493"/>
    <w:rsid w:val="00C44164"/>
    <w:rsid w:val="00C55AA7"/>
    <w:rsid w:val="00C5693C"/>
    <w:rsid w:val="00C56E53"/>
    <w:rsid w:val="00C66A97"/>
    <w:rsid w:val="00C676E3"/>
    <w:rsid w:val="00C72215"/>
    <w:rsid w:val="00C74629"/>
    <w:rsid w:val="00C8151B"/>
    <w:rsid w:val="00C81AA0"/>
    <w:rsid w:val="00C84764"/>
    <w:rsid w:val="00C92F3F"/>
    <w:rsid w:val="00C94EE2"/>
    <w:rsid w:val="00CA4782"/>
    <w:rsid w:val="00CC60B3"/>
    <w:rsid w:val="00CD1494"/>
    <w:rsid w:val="00CD1AB2"/>
    <w:rsid w:val="00CD2955"/>
    <w:rsid w:val="00CE65DF"/>
    <w:rsid w:val="00CF0711"/>
    <w:rsid w:val="00CF12E0"/>
    <w:rsid w:val="00D03E50"/>
    <w:rsid w:val="00D21C3F"/>
    <w:rsid w:val="00D2314B"/>
    <w:rsid w:val="00D277AD"/>
    <w:rsid w:val="00D3266A"/>
    <w:rsid w:val="00D35529"/>
    <w:rsid w:val="00D37EA8"/>
    <w:rsid w:val="00D44B68"/>
    <w:rsid w:val="00D5493B"/>
    <w:rsid w:val="00D5567A"/>
    <w:rsid w:val="00D60357"/>
    <w:rsid w:val="00D61F44"/>
    <w:rsid w:val="00D73223"/>
    <w:rsid w:val="00D76336"/>
    <w:rsid w:val="00D811E0"/>
    <w:rsid w:val="00D938C2"/>
    <w:rsid w:val="00DA15D8"/>
    <w:rsid w:val="00DA2EA1"/>
    <w:rsid w:val="00DD323E"/>
    <w:rsid w:val="00DD7263"/>
    <w:rsid w:val="00DE720B"/>
    <w:rsid w:val="00E02242"/>
    <w:rsid w:val="00E03E8A"/>
    <w:rsid w:val="00E05AE6"/>
    <w:rsid w:val="00E4181F"/>
    <w:rsid w:val="00E42D2B"/>
    <w:rsid w:val="00E548CB"/>
    <w:rsid w:val="00E565FF"/>
    <w:rsid w:val="00E741DE"/>
    <w:rsid w:val="00E87533"/>
    <w:rsid w:val="00E91814"/>
    <w:rsid w:val="00E963E8"/>
    <w:rsid w:val="00EA6E99"/>
    <w:rsid w:val="00EC146E"/>
    <w:rsid w:val="00EC7158"/>
    <w:rsid w:val="00ED0B06"/>
    <w:rsid w:val="00EE3889"/>
    <w:rsid w:val="00EE759B"/>
    <w:rsid w:val="00EE77FB"/>
    <w:rsid w:val="00EF1BAD"/>
    <w:rsid w:val="00F05012"/>
    <w:rsid w:val="00F07208"/>
    <w:rsid w:val="00F17F09"/>
    <w:rsid w:val="00F20B09"/>
    <w:rsid w:val="00F23460"/>
    <w:rsid w:val="00F330A6"/>
    <w:rsid w:val="00F41C4B"/>
    <w:rsid w:val="00F6026B"/>
    <w:rsid w:val="00F836C7"/>
    <w:rsid w:val="00F87EB2"/>
    <w:rsid w:val="00F90727"/>
    <w:rsid w:val="00FA47EB"/>
    <w:rsid w:val="00FA584D"/>
    <w:rsid w:val="00FB0B03"/>
    <w:rsid w:val="00FB38DE"/>
    <w:rsid w:val="00FC1060"/>
    <w:rsid w:val="00FD52F5"/>
    <w:rsid w:val="00FF7AC1"/>
    <w:rsid w:val="01736C9F"/>
    <w:rsid w:val="01800778"/>
    <w:rsid w:val="01C84634"/>
    <w:rsid w:val="01CD5AB8"/>
    <w:rsid w:val="024B4D07"/>
    <w:rsid w:val="02654279"/>
    <w:rsid w:val="029804E5"/>
    <w:rsid w:val="02A44E8B"/>
    <w:rsid w:val="02EB0EDE"/>
    <w:rsid w:val="02F27590"/>
    <w:rsid w:val="030739C4"/>
    <w:rsid w:val="04056453"/>
    <w:rsid w:val="04271D79"/>
    <w:rsid w:val="044C6409"/>
    <w:rsid w:val="04506B1F"/>
    <w:rsid w:val="04C968F5"/>
    <w:rsid w:val="05194441"/>
    <w:rsid w:val="05345526"/>
    <w:rsid w:val="05396FEC"/>
    <w:rsid w:val="05403413"/>
    <w:rsid w:val="05B16AC4"/>
    <w:rsid w:val="05D12F1C"/>
    <w:rsid w:val="06262738"/>
    <w:rsid w:val="066073F2"/>
    <w:rsid w:val="06742C0F"/>
    <w:rsid w:val="06996156"/>
    <w:rsid w:val="06AF0464"/>
    <w:rsid w:val="079352AF"/>
    <w:rsid w:val="08280AF9"/>
    <w:rsid w:val="08F54AEC"/>
    <w:rsid w:val="09073BE8"/>
    <w:rsid w:val="096A6906"/>
    <w:rsid w:val="099604F7"/>
    <w:rsid w:val="09A34F63"/>
    <w:rsid w:val="09CA0E0C"/>
    <w:rsid w:val="0A0B2A34"/>
    <w:rsid w:val="0A2D3228"/>
    <w:rsid w:val="0A2F0370"/>
    <w:rsid w:val="0A4A6F48"/>
    <w:rsid w:val="0A70109D"/>
    <w:rsid w:val="0A8861F3"/>
    <w:rsid w:val="0AA6251B"/>
    <w:rsid w:val="0B0621B2"/>
    <w:rsid w:val="0B5B34B1"/>
    <w:rsid w:val="0B5C1226"/>
    <w:rsid w:val="0B6A7139"/>
    <w:rsid w:val="0B7931AC"/>
    <w:rsid w:val="0C3015F8"/>
    <w:rsid w:val="0C8E1AC1"/>
    <w:rsid w:val="0CF93EF6"/>
    <w:rsid w:val="0D5A3DF0"/>
    <w:rsid w:val="0D5E1227"/>
    <w:rsid w:val="0D93404A"/>
    <w:rsid w:val="0E7E17BB"/>
    <w:rsid w:val="0EAF4887"/>
    <w:rsid w:val="0EE250D6"/>
    <w:rsid w:val="0F410E9B"/>
    <w:rsid w:val="0FF2498C"/>
    <w:rsid w:val="10006CD4"/>
    <w:rsid w:val="10594EE3"/>
    <w:rsid w:val="116F5CE9"/>
    <w:rsid w:val="11AF1EE3"/>
    <w:rsid w:val="11C70617"/>
    <w:rsid w:val="122E1767"/>
    <w:rsid w:val="122E22E5"/>
    <w:rsid w:val="12F06915"/>
    <w:rsid w:val="134404E2"/>
    <w:rsid w:val="1373112D"/>
    <w:rsid w:val="139F1330"/>
    <w:rsid w:val="13EF65C4"/>
    <w:rsid w:val="14AA1221"/>
    <w:rsid w:val="15423B13"/>
    <w:rsid w:val="15517293"/>
    <w:rsid w:val="155369EC"/>
    <w:rsid w:val="15602AF2"/>
    <w:rsid w:val="15A82232"/>
    <w:rsid w:val="165B3C69"/>
    <w:rsid w:val="167834ED"/>
    <w:rsid w:val="16960466"/>
    <w:rsid w:val="16B25ACA"/>
    <w:rsid w:val="1702799E"/>
    <w:rsid w:val="173C59FE"/>
    <w:rsid w:val="17BD1D02"/>
    <w:rsid w:val="17F011C3"/>
    <w:rsid w:val="17F33737"/>
    <w:rsid w:val="18333FD5"/>
    <w:rsid w:val="18811480"/>
    <w:rsid w:val="192D07A8"/>
    <w:rsid w:val="198C6972"/>
    <w:rsid w:val="19FB7CF4"/>
    <w:rsid w:val="1AE94F28"/>
    <w:rsid w:val="1AF27203"/>
    <w:rsid w:val="1B5D42CA"/>
    <w:rsid w:val="1B5F0A94"/>
    <w:rsid w:val="1B8876E3"/>
    <w:rsid w:val="1BAA2494"/>
    <w:rsid w:val="1BAB278D"/>
    <w:rsid w:val="1C131DC5"/>
    <w:rsid w:val="1C7030BA"/>
    <w:rsid w:val="1C7A0F31"/>
    <w:rsid w:val="1D17485D"/>
    <w:rsid w:val="1D3517D3"/>
    <w:rsid w:val="1DA8530C"/>
    <w:rsid w:val="1DCF1594"/>
    <w:rsid w:val="1E1C5785"/>
    <w:rsid w:val="1E982D18"/>
    <w:rsid w:val="1EF45EA2"/>
    <w:rsid w:val="1F132F5E"/>
    <w:rsid w:val="1F6707C5"/>
    <w:rsid w:val="1F996F4D"/>
    <w:rsid w:val="1FE8470C"/>
    <w:rsid w:val="204443EA"/>
    <w:rsid w:val="205F387B"/>
    <w:rsid w:val="206D540F"/>
    <w:rsid w:val="206F0500"/>
    <w:rsid w:val="209D2688"/>
    <w:rsid w:val="209E60C5"/>
    <w:rsid w:val="20C26053"/>
    <w:rsid w:val="20E5614C"/>
    <w:rsid w:val="211B575E"/>
    <w:rsid w:val="21397B22"/>
    <w:rsid w:val="21520D0C"/>
    <w:rsid w:val="217A3305"/>
    <w:rsid w:val="21833B09"/>
    <w:rsid w:val="21A86B95"/>
    <w:rsid w:val="21B9532B"/>
    <w:rsid w:val="22096061"/>
    <w:rsid w:val="220A2652"/>
    <w:rsid w:val="222D59FA"/>
    <w:rsid w:val="226F680B"/>
    <w:rsid w:val="227B4498"/>
    <w:rsid w:val="22F47918"/>
    <w:rsid w:val="231E1600"/>
    <w:rsid w:val="236621A9"/>
    <w:rsid w:val="23812740"/>
    <w:rsid w:val="23921012"/>
    <w:rsid w:val="23AB494E"/>
    <w:rsid w:val="23DC66B4"/>
    <w:rsid w:val="24096EB6"/>
    <w:rsid w:val="24595936"/>
    <w:rsid w:val="2495719B"/>
    <w:rsid w:val="24997DCD"/>
    <w:rsid w:val="253C09F1"/>
    <w:rsid w:val="26364C6B"/>
    <w:rsid w:val="26652E28"/>
    <w:rsid w:val="26B17EB7"/>
    <w:rsid w:val="26E448E1"/>
    <w:rsid w:val="26FA1CD9"/>
    <w:rsid w:val="275247E5"/>
    <w:rsid w:val="275E5D1A"/>
    <w:rsid w:val="27925289"/>
    <w:rsid w:val="27C62466"/>
    <w:rsid w:val="27E50F81"/>
    <w:rsid w:val="28591804"/>
    <w:rsid w:val="287D4B14"/>
    <w:rsid w:val="28A0360F"/>
    <w:rsid w:val="28A36E57"/>
    <w:rsid w:val="28CF1595"/>
    <w:rsid w:val="29526B4D"/>
    <w:rsid w:val="29A73DEB"/>
    <w:rsid w:val="29DC6B4F"/>
    <w:rsid w:val="2A1B51AF"/>
    <w:rsid w:val="2A602587"/>
    <w:rsid w:val="2AA4493A"/>
    <w:rsid w:val="2B393014"/>
    <w:rsid w:val="2B56617A"/>
    <w:rsid w:val="2B7D46A9"/>
    <w:rsid w:val="2C096BD5"/>
    <w:rsid w:val="2C5B0DB4"/>
    <w:rsid w:val="2C975037"/>
    <w:rsid w:val="2CF268BD"/>
    <w:rsid w:val="2D453607"/>
    <w:rsid w:val="2D4D0162"/>
    <w:rsid w:val="2D5A1899"/>
    <w:rsid w:val="2D663159"/>
    <w:rsid w:val="2E1F7D72"/>
    <w:rsid w:val="2E4A7C39"/>
    <w:rsid w:val="2EBB1F43"/>
    <w:rsid w:val="2EED2E56"/>
    <w:rsid w:val="2F036918"/>
    <w:rsid w:val="2F6F0BF9"/>
    <w:rsid w:val="2FD26D1F"/>
    <w:rsid w:val="302153D0"/>
    <w:rsid w:val="30412CCF"/>
    <w:rsid w:val="30723CA6"/>
    <w:rsid w:val="314468AD"/>
    <w:rsid w:val="318C31FA"/>
    <w:rsid w:val="319D273C"/>
    <w:rsid w:val="31C1434E"/>
    <w:rsid w:val="322B5278"/>
    <w:rsid w:val="32491D84"/>
    <w:rsid w:val="32987442"/>
    <w:rsid w:val="32BD488E"/>
    <w:rsid w:val="32C97D6B"/>
    <w:rsid w:val="32D118F7"/>
    <w:rsid w:val="32D712D0"/>
    <w:rsid w:val="34187F6B"/>
    <w:rsid w:val="34915B0F"/>
    <w:rsid w:val="34B304F6"/>
    <w:rsid w:val="34B557DC"/>
    <w:rsid w:val="34C47E14"/>
    <w:rsid w:val="3562201A"/>
    <w:rsid w:val="358804F6"/>
    <w:rsid w:val="3591403E"/>
    <w:rsid w:val="359A0CEF"/>
    <w:rsid w:val="35A2632E"/>
    <w:rsid w:val="35D93A06"/>
    <w:rsid w:val="35F83688"/>
    <w:rsid w:val="3602670E"/>
    <w:rsid w:val="362E5393"/>
    <w:rsid w:val="36690C42"/>
    <w:rsid w:val="36A31E0B"/>
    <w:rsid w:val="36A34004"/>
    <w:rsid w:val="38A6326B"/>
    <w:rsid w:val="38F04341"/>
    <w:rsid w:val="3969206D"/>
    <w:rsid w:val="39891364"/>
    <w:rsid w:val="39A9761C"/>
    <w:rsid w:val="39AD40E2"/>
    <w:rsid w:val="39AE77E2"/>
    <w:rsid w:val="3ADE055F"/>
    <w:rsid w:val="3B0B674C"/>
    <w:rsid w:val="3B251AA4"/>
    <w:rsid w:val="3B317C30"/>
    <w:rsid w:val="3B4C1A9A"/>
    <w:rsid w:val="3BA86603"/>
    <w:rsid w:val="3BC10B4E"/>
    <w:rsid w:val="3C23577F"/>
    <w:rsid w:val="3C9E57AB"/>
    <w:rsid w:val="3D2130FC"/>
    <w:rsid w:val="3D224E69"/>
    <w:rsid w:val="3E38282D"/>
    <w:rsid w:val="3EC73536"/>
    <w:rsid w:val="3F654839"/>
    <w:rsid w:val="3F8A29A8"/>
    <w:rsid w:val="3FF144FE"/>
    <w:rsid w:val="40AE3757"/>
    <w:rsid w:val="40F53D97"/>
    <w:rsid w:val="418D0237"/>
    <w:rsid w:val="41CA2F83"/>
    <w:rsid w:val="42266040"/>
    <w:rsid w:val="424B3760"/>
    <w:rsid w:val="42544BBC"/>
    <w:rsid w:val="4279515E"/>
    <w:rsid w:val="42BE221A"/>
    <w:rsid w:val="42C07FCC"/>
    <w:rsid w:val="42E74B03"/>
    <w:rsid w:val="43556DF9"/>
    <w:rsid w:val="43B23B6D"/>
    <w:rsid w:val="43F93C10"/>
    <w:rsid w:val="44486BE1"/>
    <w:rsid w:val="44691999"/>
    <w:rsid w:val="44E874A0"/>
    <w:rsid w:val="44F66216"/>
    <w:rsid w:val="44FD0BF4"/>
    <w:rsid w:val="44FD6A2B"/>
    <w:rsid w:val="45703560"/>
    <w:rsid w:val="457271A8"/>
    <w:rsid w:val="45900DC9"/>
    <w:rsid w:val="461A16DC"/>
    <w:rsid w:val="465F5BCD"/>
    <w:rsid w:val="46C668DC"/>
    <w:rsid w:val="46DD3028"/>
    <w:rsid w:val="46DF22B5"/>
    <w:rsid w:val="46F6430B"/>
    <w:rsid w:val="477B7EBC"/>
    <w:rsid w:val="47A07C46"/>
    <w:rsid w:val="47AF2B0E"/>
    <w:rsid w:val="47B40579"/>
    <w:rsid w:val="481B6C59"/>
    <w:rsid w:val="490E22CB"/>
    <w:rsid w:val="495E2231"/>
    <w:rsid w:val="49F80EB1"/>
    <w:rsid w:val="4A2C04F0"/>
    <w:rsid w:val="4A5D72DD"/>
    <w:rsid w:val="4A8775E1"/>
    <w:rsid w:val="4AB229CA"/>
    <w:rsid w:val="4ABA3ED7"/>
    <w:rsid w:val="4ABA7F1F"/>
    <w:rsid w:val="4B0C301E"/>
    <w:rsid w:val="4B223032"/>
    <w:rsid w:val="4B2D2738"/>
    <w:rsid w:val="4B2F2A5E"/>
    <w:rsid w:val="4B5F794E"/>
    <w:rsid w:val="4B6F4282"/>
    <w:rsid w:val="4C664026"/>
    <w:rsid w:val="4C992410"/>
    <w:rsid w:val="4CC637C6"/>
    <w:rsid w:val="4CCB228F"/>
    <w:rsid w:val="4CDB635A"/>
    <w:rsid w:val="4D721E7D"/>
    <w:rsid w:val="4DB42C03"/>
    <w:rsid w:val="4DE04E44"/>
    <w:rsid w:val="4E083EC3"/>
    <w:rsid w:val="4E107462"/>
    <w:rsid w:val="4E1B6912"/>
    <w:rsid w:val="4E314E28"/>
    <w:rsid w:val="4E500E27"/>
    <w:rsid w:val="4ECF554F"/>
    <w:rsid w:val="4ED63CD9"/>
    <w:rsid w:val="4FB741B9"/>
    <w:rsid w:val="4FF46E85"/>
    <w:rsid w:val="502920E0"/>
    <w:rsid w:val="502C4B67"/>
    <w:rsid w:val="5052508D"/>
    <w:rsid w:val="507E3957"/>
    <w:rsid w:val="50874224"/>
    <w:rsid w:val="50A63507"/>
    <w:rsid w:val="50C201D7"/>
    <w:rsid w:val="50F153E5"/>
    <w:rsid w:val="51204273"/>
    <w:rsid w:val="519953FA"/>
    <w:rsid w:val="5232271A"/>
    <w:rsid w:val="52696D8E"/>
    <w:rsid w:val="52777920"/>
    <w:rsid w:val="52BF01EA"/>
    <w:rsid w:val="52DC5653"/>
    <w:rsid w:val="52E5779F"/>
    <w:rsid w:val="530B519F"/>
    <w:rsid w:val="53726D31"/>
    <w:rsid w:val="53C06CAE"/>
    <w:rsid w:val="53F01906"/>
    <w:rsid w:val="53FE2C59"/>
    <w:rsid w:val="54353740"/>
    <w:rsid w:val="545A49B8"/>
    <w:rsid w:val="548B148A"/>
    <w:rsid w:val="54B31AAF"/>
    <w:rsid w:val="54B37CC7"/>
    <w:rsid w:val="54F27D17"/>
    <w:rsid w:val="551A1BA4"/>
    <w:rsid w:val="559831E7"/>
    <w:rsid w:val="55A53A64"/>
    <w:rsid w:val="55F50D2B"/>
    <w:rsid w:val="563F246F"/>
    <w:rsid w:val="56A31228"/>
    <w:rsid w:val="56C463A9"/>
    <w:rsid w:val="56D60D13"/>
    <w:rsid w:val="571A09A6"/>
    <w:rsid w:val="57273214"/>
    <w:rsid w:val="57481B2D"/>
    <w:rsid w:val="57673809"/>
    <w:rsid w:val="57E3677B"/>
    <w:rsid w:val="58122B98"/>
    <w:rsid w:val="58A542FA"/>
    <w:rsid w:val="591250A2"/>
    <w:rsid w:val="59305031"/>
    <w:rsid w:val="59BF72E2"/>
    <w:rsid w:val="5A344ABE"/>
    <w:rsid w:val="5A3F1FDD"/>
    <w:rsid w:val="5A575EFD"/>
    <w:rsid w:val="5A9E0C1F"/>
    <w:rsid w:val="5AA00C89"/>
    <w:rsid w:val="5AA37F83"/>
    <w:rsid w:val="5AAD1C4F"/>
    <w:rsid w:val="5B2443A6"/>
    <w:rsid w:val="5BC54FF8"/>
    <w:rsid w:val="5BDB440B"/>
    <w:rsid w:val="5BDF7757"/>
    <w:rsid w:val="5C116A12"/>
    <w:rsid w:val="5C1B23FB"/>
    <w:rsid w:val="5C3731F4"/>
    <w:rsid w:val="5CA851EC"/>
    <w:rsid w:val="5D77704B"/>
    <w:rsid w:val="5DC9591E"/>
    <w:rsid w:val="5DCA69C3"/>
    <w:rsid w:val="5DE12C9D"/>
    <w:rsid w:val="5E7D401C"/>
    <w:rsid w:val="5F495B87"/>
    <w:rsid w:val="5F76686B"/>
    <w:rsid w:val="5FCE05FC"/>
    <w:rsid w:val="602B15C7"/>
    <w:rsid w:val="602F1054"/>
    <w:rsid w:val="604361A5"/>
    <w:rsid w:val="60A502FF"/>
    <w:rsid w:val="60A66EB8"/>
    <w:rsid w:val="61AB302F"/>
    <w:rsid w:val="61B55F6C"/>
    <w:rsid w:val="61F1416F"/>
    <w:rsid w:val="62476C60"/>
    <w:rsid w:val="6282342A"/>
    <w:rsid w:val="62CF1B57"/>
    <w:rsid w:val="62EA51ED"/>
    <w:rsid w:val="63566C02"/>
    <w:rsid w:val="6508750E"/>
    <w:rsid w:val="65696BB3"/>
    <w:rsid w:val="65943DCC"/>
    <w:rsid w:val="65CC0810"/>
    <w:rsid w:val="65E83C15"/>
    <w:rsid w:val="65FE6792"/>
    <w:rsid w:val="66325962"/>
    <w:rsid w:val="66541840"/>
    <w:rsid w:val="667A63BB"/>
    <w:rsid w:val="66EB29DB"/>
    <w:rsid w:val="674066AA"/>
    <w:rsid w:val="67636AF0"/>
    <w:rsid w:val="676F4665"/>
    <w:rsid w:val="67783210"/>
    <w:rsid w:val="677D72A0"/>
    <w:rsid w:val="678D511D"/>
    <w:rsid w:val="67BB1869"/>
    <w:rsid w:val="67CC1B7B"/>
    <w:rsid w:val="67CE04C7"/>
    <w:rsid w:val="67E44873"/>
    <w:rsid w:val="67E9789A"/>
    <w:rsid w:val="682215A5"/>
    <w:rsid w:val="68B41297"/>
    <w:rsid w:val="69834335"/>
    <w:rsid w:val="69B03713"/>
    <w:rsid w:val="69B57594"/>
    <w:rsid w:val="69E341B1"/>
    <w:rsid w:val="6A0F6EDD"/>
    <w:rsid w:val="6A4433B2"/>
    <w:rsid w:val="6A972E15"/>
    <w:rsid w:val="6AF76D42"/>
    <w:rsid w:val="6AFF7C81"/>
    <w:rsid w:val="6B17008C"/>
    <w:rsid w:val="6B203DD7"/>
    <w:rsid w:val="6B29378B"/>
    <w:rsid w:val="6B436CB3"/>
    <w:rsid w:val="6B665034"/>
    <w:rsid w:val="6B757728"/>
    <w:rsid w:val="6B9116B8"/>
    <w:rsid w:val="6C1B2373"/>
    <w:rsid w:val="6C704E09"/>
    <w:rsid w:val="6CF277DD"/>
    <w:rsid w:val="6D284E28"/>
    <w:rsid w:val="6DB8171D"/>
    <w:rsid w:val="6E060700"/>
    <w:rsid w:val="6E113C01"/>
    <w:rsid w:val="6E7D73F3"/>
    <w:rsid w:val="6EBB3A27"/>
    <w:rsid w:val="6EE71EFC"/>
    <w:rsid w:val="6F562322"/>
    <w:rsid w:val="6FB85279"/>
    <w:rsid w:val="6FCA5E0C"/>
    <w:rsid w:val="702A4081"/>
    <w:rsid w:val="707D33EE"/>
    <w:rsid w:val="71110170"/>
    <w:rsid w:val="71241D52"/>
    <w:rsid w:val="713C198D"/>
    <w:rsid w:val="72423160"/>
    <w:rsid w:val="72951944"/>
    <w:rsid w:val="734368E4"/>
    <w:rsid w:val="735A72DE"/>
    <w:rsid w:val="73894D0D"/>
    <w:rsid w:val="74190FBA"/>
    <w:rsid w:val="743A24EF"/>
    <w:rsid w:val="74425429"/>
    <w:rsid w:val="74657DB8"/>
    <w:rsid w:val="746970D0"/>
    <w:rsid w:val="746F688C"/>
    <w:rsid w:val="75065C92"/>
    <w:rsid w:val="75076808"/>
    <w:rsid w:val="75176DB3"/>
    <w:rsid w:val="75261B9C"/>
    <w:rsid w:val="75292008"/>
    <w:rsid w:val="753B58AF"/>
    <w:rsid w:val="75F865BE"/>
    <w:rsid w:val="7610712D"/>
    <w:rsid w:val="768862D5"/>
    <w:rsid w:val="76F403AC"/>
    <w:rsid w:val="77000835"/>
    <w:rsid w:val="77463B96"/>
    <w:rsid w:val="779C124C"/>
    <w:rsid w:val="77CB0CE6"/>
    <w:rsid w:val="78506C0E"/>
    <w:rsid w:val="78B87365"/>
    <w:rsid w:val="78EF55A7"/>
    <w:rsid w:val="792F67CE"/>
    <w:rsid w:val="794F28E5"/>
    <w:rsid w:val="7A587BA5"/>
    <w:rsid w:val="7A9A3575"/>
    <w:rsid w:val="7AA06F7E"/>
    <w:rsid w:val="7AC433F3"/>
    <w:rsid w:val="7AE70539"/>
    <w:rsid w:val="7AF02CD2"/>
    <w:rsid w:val="7B0762C8"/>
    <w:rsid w:val="7B697406"/>
    <w:rsid w:val="7B85642F"/>
    <w:rsid w:val="7C075C94"/>
    <w:rsid w:val="7C850AF1"/>
    <w:rsid w:val="7D4263FE"/>
    <w:rsid w:val="7D547D99"/>
    <w:rsid w:val="7D7C1519"/>
    <w:rsid w:val="7D9179E4"/>
    <w:rsid w:val="7DA0351F"/>
    <w:rsid w:val="7DF14772"/>
    <w:rsid w:val="7E09361D"/>
    <w:rsid w:val="7E445F9B"/>
    <w:rsid w:val="7E4B37CF"/>
    <w:rsid w:val="7EC13ACC"/>
    <w:rsid w:val="7F426DF5"/>
    <w:rsid w:val="7F463BA6"/>
    <w:rsid w:val="7FE26DBF"/>
    <w:rsid w:val="7FEA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1">
    <w:name w:val="Default Paragraph Font"/>
    <w:unhideWhenUsed/>
    <w:qFormat/>
    <w:uiPriority w:val="1"/>
  </w:style>
  <w:style w:type="table" w:default="1" w:styleId="2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Document Map"/>
    <w:basedOn w:val="1"/>
    <w:link w:val="32"/>
    <w:unhideWhenUsed/>
    <w:qFormat/>
    <w:uiPriority w:val="99"/>
    <w:rPr>
      <w:rFonts w:ascii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0">
    <w:name w:val="toc 8"/>
    <w:basedOn w:val="1"/>
    <w:next w:val="1"/>
    <w:unhideWhenUsed/>
    <w:qFormat/>
    <w:uiPriority w:val="39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11">
    <w:name w:val="Balloon Text"/>
    <w:basedOn w:val="1"/>
    <w:link w:val="31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15">
    <w:name w:val="toc 4"/>
    <w:basedOn w:val="1"/>
    <w:next w:val="1"/>
    <w:unhideWhenUsed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16">
    <w:name w:val="toc 6"/>
    <w:basedOn w:val="1"/>
    <w:next w:val="1"/>
    <w:unhideWhenUsed/>
    <w:qFormat/>
    <w:uiPriority w:val="39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17">
    <w:name w:val="toc 2"/>
    <w:basedOn w:val="1"/>
    <w:next w:val="1"/>
    <w:unhideWhenUsed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18">
    <w:name w:val="toc 9"/>
    <w:basedOn w:val="1"/>
    <w:next w:val="1"/>
    <w:unhideWhenUsed/>
    <w:qFormat/>
    <w:uiPriority w:val="39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19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22">
    <w:name w:val="Hyperlink"/>
    <w:unhideWhenUsed/>
    <w:qFormat/>
    <w:uiPriority w:val="99"/>
    <w:rPr>
      <w:color w:val="0000FF"/>
      <w:u w:val="single"/>
    </w:rPr>
  </w:style>
  <w:style w:type="character" w:customStyle="1" w:styleId="23">
    <w:name w:val="页眉字符"/>
    <w:basedOn w:val="21"/>
    <w:link w:val="13"/>
    <w:qFormat/>
    <w:uiPriority w:val="99"/>
    <w:rPr>
      <w:sz w:val="18"/>
      <w:szCs w:val="18"/>
    </w:rPr>
  </w:style>
  <w:style w:type="character" w:customStyle="1" w:styleId="24">
    <w:name w:val="页脚字符"/>
    <w:basedOn w:val="21"/>
    <w:link w:val="12"/>
    <w:qFormat/>
    <w:uiPriority w:val="99"/>
    <w:rPr>
      <w:sz w:val="18"/>
      <w:szCs w:val="18"/>
    </w:rPr>
  </w:style>
  <w:style w:type="character" w:customStyle="1" w:styleId="25">
    <w:name w:val="标题 1字符"/>
    <w:basedOn w:val="21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6">
    <w:name w:val="标题 2字符"/>
    <w:basedOn w:val="21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7">
    <w:name w:val="标题 3字符"/>
    <w:basedOn w:val="21"/>
    <w:link w:val="4"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9">
    <w:name w:val="标准文本"/>
    <w:basedOn w:val="1"/>
    <w:link w:val="30"/>
    <w:qFormat/>
    <w:uiPriority w:val="0"/>
    <w:pPr>
      <w:spacing w:line="276" w:lineRule="auto"/>
      <w:ind w:firstLine="519" w:firstLineChars="236"/>
    </w:pPr>
    <w:rPr>
      <w:rFonts w:ascii="微软雅黑 Light" w:hAnsi="微软雅黑 Light" w:eastAsia="微软雅黑 Light" w:cs="宋体"/>
      <w:sz w:val="24"/>
      <w:szCs w:val="21"/>
    </w:rPr>
  </w:style>
  <w:style w:type="character" w:customStyle="1" w:styleId="30">
    <w:name w:val="标准文本 Char"/>
    <w:link w:val="29"/>
    <w:qFormat/>
    <w:uiPriority w:val="0"/>
    <w:rPr>
      <w:rFonts w:ascii="微软雅黑 Light" w:hAnsi="微软雅黑 Light" w:eastAsia="微软雅黑 Light" w:cs="宋体"/>
      <w:sz w:val="24"/>
      <w:szCs w:val="21"/>
    </w:rPr>
  </w:style>
  <w:style w:type="character" w:customStyle="1" w:styleId="31">
    <w:name w:val="批注框文本字符"/>
    <w:basedOn w:val="21"/>
    <w:link w:val="11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32">
    <w:name w:val="文档结构图 字符"/>
    <w:basedOn w:val="21"/>
    <w:link w:val="7"/>
    <w:semiHidden/>
    <w:qFormat/>
    <w:uiPriority w:val="99"/>
    <w:rPr>
      <w:rFonts w:ascii="宋体" w:hAnsi="Calibri" w:eastAsia="宋体" w:cs="Times New Roman"/>
      <w:sz w:val="18"/>
      <w:szCs w:val="18"/>
    </w:rPr>
  </w:style>
  <w:style w:type="paragraph" w:customStyle="1" w:styleId="33">
    <w:name w:val="列出段落1"/>
    <w:basedOn w:val="1"/>
    <w:qFormat/>
    <w:uiPriority w:val="34"/>
    <w:pPr>
      <w:ind w:firstLine="420" w:firstLineChars="200"/>
    </w:pPr>
  </w:style>
  <w:style w:type="paragraph" w:customStyle="1" w:styleId="34">
    <w:name w:val="无间距1"/>
    <w:link w:val="3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5">
    <w:name w:val="无间隔 字符"/>
    <w:basedOn w:val="21"/>
    <w:link w:val="34"/>
    <w:qFormat/>
    <w:uiPriority w:val="1"/>
    <w:rPr>
      <w:kern w:val="0"/>
      <w:sz w:val="22"/>
    </w:rPr>
  </w:style>
  <w:style w:type="character" w:customStyle="1" w:styleId="36">
    <w:name w:val="标题 4字符"/>
    <w:basedOn w:val="2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7">
    <w:name w:val="@他1"/>
    <w:basedOn w:val="21"/>
    <w:unhideWhenUsed/>
    <w:qFormat/>
    <w:uiPriority w:val="99"/>
    <w:rPr>
      <w:color w:val="2B579A"/>
      <w:shd w:val="clear" w:color="auto" w:fill="E6E6E6"/>
    </w:rPr>
  </w:style>
  <w:style w:type="paragraph" w:customStyle="1" w:styleId="3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9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0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4" Type="http://schemas.openxmlformats.org/officeDocument/2006/relationships/fontTable" Target="fontTable.xml"/><Relationship Id="rId63" Type="http://schemas.openxmlformats.org/officeDocument/2006/relationships/customXml" Target="../customXml/item2.xml"/><Relationship Id="rId62" Type="http://schemas.openxmlformats.org/officeDocument/2006/relationships/customXml" Target="../customXml/item1.xml"/><Relationship Id="rId61" Type="http://schemas.openxmlformats.org/officeDocument/2006/relationships/numbering" Target="numbering.xml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overPageProperties xmlns="http://schemas.microsoft.com/office/2006/coverPageProps">
  <PublishDate>2017-04-21T00:00:00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493CAFF-2B80-B149-8B99-B76379B11354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2593</Words>
  <Characters>2816</Characters>
  <Lines>59</Lines>
  <Paragraphs>16</Paragraphs>
  <TotalTime>28</TotalTime>
  <ScaleCrop>false</ScaleCrop>
  <LinksUpToDate>false</LinksUpToDate>
  <CharactersWithSpaces>3092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2017-04-28T02:40:00Z</dcterms:created>
  <dc:creator>苏州大学教务部</dc:creator>
  <cp:lastModifiedBy>WPS_1630463082</cp:lastModifiedBy>
  <cp:lastPrinted>2017-05-02T02:47:00Z</cp:lastPrinted>
  <dcterms:modified xsi:type="dcterms:W3CDTF">2025-08-28T16:37:40Z</dcterms:modified>
  <dc:subject>教师使用手册</dc:subject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D87DDB9DF6E54D1CA57966290C4AA35D</vt:lpwstr>
  </property>
  <property fmtid="{D5CDD505-2E9C-101B-9397-08002B2CF9AE}" pid="4" name="KSOTemplateDocerSaveRecord">
    <vt:lpwstr>eyJoZGlkIjoiNTg4NGMxYzYwOGQyYWM2NjE4MTlmY2Y4Nzg1OTAyNDAiLCJ1c2VySWQiOiIxMjYzNjM4MTIwIn0=</vt:lpwstr>
  </property>
</Properties>
</file>